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A4F1" w14:textId="67FB7321" w:rsidR="00EB29AA" w:rsidRDefault="00D53CC3" w:rsidP="00804FC0">
      <w:pPr>
        <w:tabs>
          <w:tab w:val="center" w:pos="10467"/>
        </w:tabs>
        <w:rPr>
          <w:b/>
        </w:rPr>
      </w:pPr>
      <w:r w:rsidRPr="00A92280">
        <w:rPr>
          <w:b/>
        </w:rPr>
        <w:t>NZSAR RISK MATRIX</w:t>
      </w:r>
      <w:r w:rsidR="00804FC0">
        <w:rPr>
          <w:b/>
        </w:rPr>
        <w:tab/>
      </w:r>
    </w:p>
    <w:p w14:paraId="3FCB97DC" w14:textId="73E9A093" w:rsidR="00F70EC1" w:rsidRPr="00427871" w:rsidRDefault="00F70EC1" w:rsidP="00804FC0">
      <w:pPr>
        <w:tabs>
          <w:tab w:val="center" w:pos="10467"/>
        </w:tabs>
        <w:rPr>
          <w:b/>
        </w:rPr>
        <w:sectPr w:rsidR="00F70EC1" w:rsidRPr="00427871" w:rsidSect="00127F58">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1440" w:right="1440" w:bottom="1440" w:left="1440" w:header="426" w:footer="708" w:gutter="0"/>
          <w:cols w:space="708"/>
          <w:docGrid w:linePitch="360"/>
        </w:sectPr>
      </w:pPr>
    </w:p>
    <w:tbl>
      <w:tblPr>
        <w:tblStyle w:val="TableGrid"/>
        <w:tblW w:w="22341" w:type="dxa"/>
        <w:tblInd w:w="-459" w:type="dxa"/>
        <w:tblLayout w:type="fixed"/>
        <w:tblLook w:val="04A0" w:firstRow="1" w:lastRow="0" w:firstColumn="1" w:lastColumn="0" w:noHBand="0" w:noVBand="1"/>
      </w:tblPr>
      <w:tblGrid>
        <w:gridCol w:w="993"/>
        <w:gridCol w:w="1701"/>
        <w:gridCol w:w="4253"/>
        <w:gridCol w:w="3696"/>
        <w:gridCol w:w="397"/>
        <w:gridCol w:w="397"/>
        <w:gridCol w:w="699"/>
        <w:gridCol w:w="5442"/>
        <w:gridCol w:w="709"/>
        <w:gridCol w:w="794"/>
        <w:gridCol w:w="3260"/>
      </w:tblGrid>
      <w:tr w:rsidR="00FF3721" w:rsidRPr="00286A2D" w14:paraId="3BA8A55F" w14:textId="77777777" w:rsidTr="00127F58">
        <w:trPr>
          <w:cantSplit/>
          <w:trHeight w:val="1701"/>
        </w:trPr>
        <w:tc>
          <w:tcPr>
            <w:tcW w:w="993" w:type="dxa"/>
            <w:shd w:val="clear" w:color="auto" w:fill="FBD4B4" w:themeFill="accent6" w:themeFillTint="66"/>
            <w:textDirection w:val="btLr"/>
            <w:vAlign w:val="center"/>
          </w:tcPr>
          <w:p w14:paraId="2602333C" w14:textId="77777777" w:rsidR="00FF3721" w:rsidRPr="00286A2D" w:rsidRDefault="00FF3721" w:rsidP="00FF3721">
            <w:pPr>
              <w:spacing w:line="360" w:lineRule="auto"/>
              <w:ind w:left="113" w:right="113"/>
              <w:jc w:val="center"/>
              <w:rPr>
                <w:b/>
                <w:sz w:val="20"/>
                <w:szCs w:val="20"/>
              </w:rPr>
            </w:pPr>
            <w:r w:rsidRPr="00286A2D">
              <w:rPr>
                <w:b/>
                <w:sz w:val="20"/>
                <w:szCs w:val="20"/>
              </w:rPr>
              <w:t>Risk #</w:t>
            </w:r>
          </w:p>
        </w:tc>
        <w:tc>
          <w:tcPr>
            <w:tcW w:w="1701" w:type="dxa"/>
            <w:shd w:val="clear" w:color="auto" w:fill="FBD4B4" w:themeFill="accent6" w:themeFillTint="66"/>
            <w:vAlign w:val="center"/>
          </w:tcPr>
          <w:p w14:paraId="3D743906" w14:textId="77777777" w:rsidR="00FF3721" w:rsidRPr="002D6CCE" w:rsidRDefault="00FF3721" w:rsidP="00FF3721">
            <w:pPr>
              <w:pStyle w:val="BodyText"/>
              <w:spacing w:before="120" w:after="0"/>
              <w:jc w:val="center"/>
              <w:rPr>
                <w:rFonts w:eastAsia="Times New Roman"/>
                <w:b/>
                <w:sz w:val="20"/>
                <w:szCs w:val="20"/>
              </w:rPr>
            </w:pPr>
            <w:r w:rsidRPr="002D6CCE">
              <w:rPr>
                <w:rFonts w:eastAsia="Times New Roman"/>
                <w:b/>
                <w:sz w:val="20"/>
                <w:szCs w:val="20"/>
              </w:rPr>
              <w:t>Risk Description</w:t>
            </w:r>
          </w:p>
        </w:tc>
        <w:tc>
          <w:tcPr>
            <w:tcW w:w="4253" w:type="dxa"/>
            <w:shd w:val="clear" w:color="auto" w:fill="FBD4B4" w:themeFill="accent6" w:themeFillTint="66"/>
            <w:vAlign w:val="center"/>
          </w:tcPr>
          <w:p w14:paraId="2EBC65CF" w14:textId="77777777" w:rsidR="00FF3721" w:rsidRPr="002D6CCE" w:rsidRDefault="00FF3721" w:rsidP="00FF3721">
            <w:pPr>
              <w:pStyle w:val="BodyText"/>
              <w:spacing w:before="120" w:after="0"/>
              <w:jc w:val="center"/>
              <w:rPr>
                <w:rFonts w:eastAsia="Times New Roman"/>
                <w:b/>
                <w:sz w:val="20"/>
                <w:szCs w:val="20"/>
              </w:rPr>
            </w:pPr>
            <w:r w:rsidRPr="002D6CCE">
              <w:rPr>
                <w:rFonts w:eastAsia="Times New Roman"/>
                <w:b/>
                <w:sz w:val="20"/>
                <w:szCs w:val="20"/>
              </w:rPr>
              <w:t>Reasons or Causes</w:t>
            </w:r>
          </w:p>
        </w:tc>
        <w:tc>
          <w:tcPr>
            <w:tcW w:w="3696" w:type="dxa"/>
            <w:shd w:val="clear" w:color="auto" w:fill="FBD4B4" w:themeFill="accent6" w:themeFillTint="66"/>
            <w:vAlign w:val="center"/>
          </w:tcPr>
          <w:p w14:paraId="0C9A8CBF" w14:textId="77777777" w:rsidR="00FF3721" w:rsidRPr="002D6CCE" w:rsidRDefault="00FF3721" w:rsidP="00FF3721">
            <w:pPr>
              <w:pStyle w:val="BodyText"/>
              <w:spacing w:before="120" w:after="0"/>
              <w:jc w:val="center"/>
              <w:rPr>
                <w:rFonts w:eastAsia="Times New Roman"/>
                <w:b/>
                <w:sz w:val="20"/>
                <w:szCs w:val="20"/>
              </w:rPr>
            </w:pPr>
            <w:r w:rsidRPr="002D6CCE">
              <w:rPr>
                <w:rFonts w:eastAsia="Times New Roman"/>
                <w:b/>
                <w:sz w:val="20"/>
                <w:szCs w:val="20"/>
              </w:rPr>
              <w:t>Consequences</w:t>
            </w:r>
          </w:p>
        </w:tc>
        <w:tc>
          <w:tcPr>
            <w:tcW w:w="397" w:type="dxa"/>
            <w:shd w:val="clear" w:color="auto" w:fill="FBD4B4" w:themeFill="accent6" w:themeFillTint="66"/>
            <w:textDirection w:val="btLr"/>
            <w:vAlign w:val="center"/>
          </w:tcPr>
          <w:p w14:paraId="201626FF" w14:textId="77777777" w:rsidR="00FF3721" w:rsidRPr="00286A2D" w:rsidRDefault="00FF3721" w:rsidP="00FF3721">
            <w:pPr>
              <w:spacing w:line="360" w:lineRule="auto"/>
              <w:ind w:left="113" w:right="113"/>
              <w:jc w:val="center"/>
              <w:rPr>
                <w:b/>
                <w:sz w:val="20"/>
                <w:szCs w:val="20"/>
              </w:rPr>
            </w:pPr>
            <w:r w:rsidRPr="00286A2D">
              <w:rPr>
                <w:b/>
                <w:sz w:val="20"/>
                <w:szCs w:val="20"/>
              </w:rPr>
              <w:t>Probability</w:t>
            </w:r>
          </w:p>
        </w:tc>
        <w:tc>
          <w:tcPr>
            <w:tcW w:w="397" w:type="dxa"/>
            <w:shd w:val="clear" w:color="auto" w:fill="FBD4B4" w:themeFill="accent6" w:themeFillTint="66"/>
            <w:textDirection w:val="btLr"/>
            <w:vAlign w:val="center"/>
          </w:tcPr>
          <w:p w14:paraId="0CE2D38A" w14:textId="77777777" w:rsidR="00FF3721" w:rsidRPr="00286A2D" w:rsidRDefault="00FF3721" w:rsidP="00FF3721">
            <w:pPr>
              <w:spacing w:line="360" w:lineRule="auto"/>
              <w:ind w:left="113" w:right="113"/>
              <w:jc w:val="center"/>
              <w:rPr>
                <w:b/>
                <w:sz w:val="20"/>
                <w:szCs w:val="20"/>
              </w:rPr>
            </w:pPr>
            <w:r w:rsidRPr="00286A2D">
              <w:rPr>
                <w:b/>
                <w:sz w:val="20"/>
                <w:szCs w:val="20"/>
              </w:rPr>
              <w:t>Impact</w:t>
            </w:r>
          </w:p>
        </w:tc>
        <w:tc>
          <w:tcPr>
            <w:tcW w:w="699" w:type="dxa"/>
            <w:shd w:val="clear" w:color="auto" w:fill="FBD4B4" w:themeFill="accent6" w:themeFillTint="66"/>
            <w:textDirection w:val="btLr"/>
          </w:tcPr>
          <w:p w14:paraId="74DA12DF" w14:textId="77777777" w:rsidR="00FF3721" w:rsidRPr="00286A2D" w:rsidRDefault="00FF3721" w:rsidP="00FF3721">
            <w:pPr>
              <w:jc w:val="center"/>
              <w:rPr>
                <w:b/>
                <w:sz w:val="20"/>
                <w:szCs w:val="20"/>
              </w:rPr>
            </w:pPr>
            <w:r>
              <w:rPr>
                <w:b/>
                <w:sz w:val="20"/>
                <w:szCs w:val="20"/>
              </w:rPr>
              <w:t xml:space="preserve">Risk </w:t>
            </w:r>
            <w:r w:rsidRPr="00286A2D">
              <w:rPr>
                <w:b/>
                <w:sz w:val="20"/>
                <w:szCs w:val="20"/>
              </w:rPr>
              <w:t>Level</w:t>
            </w:r>
            <w:r>
              <w:rPr>
                <w:b/>
                <w:sz w:val="20"/>
                <w:szCs w:val="20"/>
              </w:rPr>
              <w:t xml:space="preserve"> (reviewed)</w:t>
            </w:r>
          </w:p>
        </w:tc>
        <w:tc>
          <w:tcPr>
            <w:tcW w:w="5442" w:type="dxa"/>
            <w:shd w:val="clear" w:color="auto" w:fill="FBD4B4" w:themeFill="accent6" w:themeFillTint="66"/>
            <w:vAlign w:val="center"/>
          </w:tcPr>
          <w:p w14:paraId="6D12E8A0" w14:textId="77777777" w:rsidR="00FF3721" w:rsidRPr="00BB5DB0" w:rsidRDefault="00FF3721" w:rsidP="00FF3721">
            <w:pPr>
              <w:pStyle w:val="BodyText"/>
              <w:spacing w:before="120" w:after="0"/>
              <w:jc w:val="center"/>
              <w:rPr>
                <w:b/>
                <w:sz w:val="20"/>
                <w:szCs w:val="20"/>
              </w:rPr>
            </w:pPr>
            <w:r w:rsidRPr="00BB5DB0">
              <w:rPr>
                <w:b/>
                <w:sz w:val="20"/>
                <w:szCs w:val="20"/>
              </w:rPr>
              <w:t>Risk Treatment(s)</w:t>
            </w:r>
          </w:p>
        </w:tc>
        <w:tc>
          <w:tcPr>
            <w:tcW w:w="709" w:type="dxa"/>
            <w:shd w:val="clear" w:color="auto" w:fill="FBD4B4" w:themeFill="accent6" w:themeFillTint="66"/>
            <w:textDirection w:val="btLr"/>
          </w:tcPr>
          <w:p w14:paraId="70380D93" w14:textId="557091ED" w:rsidR="00FF3721" w:rsidRDefault="00FF3721" w:rsidP="00FF3721">
            <w:pPr>
              <w:jc w:val="center"/>
              <w:rPr>
                <w:b/>
                <w:sz w:val="20"/>
                <w:szCs w:val="20"/>
              </w:rPr>
            </w:pPr>
            <w:r>
              <w:rPr>
                <w:b/>
                <w:sz w:val="20"/>
                <w:szCs w:val="20"/>
              </w:rPr>
              <w:t>Treatment Implementation</w:t>
            </w:r>
          </w:p>
        </w:tc>
        <w:tc>
          <w:tcPr>
            <w:tcW w:w="794" w:type="dxa"/>
            <w:shd w:val="clear" w:color="auto" w:fill="FBD4B4" w:themeFill="accent6" w:themeFillTint="66"/>
            <w:textDirection w:val="btLr"/>
          </w:tcPr>
          <w:p w14:paraId="09732675" w14:textId="704D24BA" w:rsidR="00FF3721" w:rsidRPr="00BB5DB0" w:rsidRDefault="00FF3721" w:rsidP="00FF3721">
            <w:pPr>
              <w:ind w:left="113" w:right="113"/>
              <w:jc w:val="center"/>
              <w:rPr>
                <w:b/>
                <w:sz w:val="20"/>
                <w:szCs w:val="20"/>
              </w:rPr>
            </w:pPr>
            <w:r>
              <w:rPr>
                <w:b/>
                <w:sz w:val="20"/>
                <w:szCs w:val="20"/>
              </w:rPr>
              <w:t xml:space="preserve">Post Treatment Impact </w:t>
            </w:r>
          </w:p>
        </w:tc>
        <w:tc>
          <w:tcPr>
            <w:tcW w:w="3260" w:type="dxa"/>
            <w:shd w:val="clear" w:color="auto" w:fill="FBD4B4" w:themeFill="accent6" w:themeFillTint="66"/>
            <w:vAlign w:val="center"/>
          </w:tcPr>
          <w:p w14:paraId="21971260" w14:textId="77777777" w:rsidR="00FF3721" w:rsidRPr="002D6CCE" w:rsidRDefault="00FF3721" w:rsidP="00FF3721">
            <w:pPr>
              <w:pStyle w:val="BodyText"/>
              <w:spacing w:before="120" w:after="0"/>
              <w:jc w:val="center"/>
              <w:rPr>
                <w:rFonts w:eastAsia="Times New Roman"/>
                <w:b/>
                <w:sz w:val="20"/>
                <w:szCs w:val="20"/>
              </w:rPr>
            </w:pPr>
            <w:r w:rsidRPr="002D6CCE">
              <w:rPr>
                <w:rFonts w:eastAsia="Times New Roman"/>
                <w:b/>
                <w:sz w:val="20"/>
                <w:szCs w:val="20"/>
              </w:rPr>
              <w:t>Comments/Examples</w:t>
            </w:r>
          </w:p>
        </w:tc>
      </w:tr>
      <w:tr w:rsidR="00324F84" w:rsidRPr="00286A2D" w14:paraId="43DF8135" w14:textId="77777777" w:rsidTr="00D91C4D">
        <w:trPr>
          <w:trHeight w:val="721"/>
        </w:trPr>
        <w:tc>
          <w:tcPr>
            <w:tcW w:w="993" w:type="dxa"/>
            <w:vMerge w:val="restart"/>
          </w:tcPr>
          <w:p w14:paraId="0D82E86A" w14:textId="1D2349FD" w:rsidR="00324F84" w:rsidRPr="002D6CCE" w:rsidRDefault="00324F84" w:rsidP="00A92280">
            <w:pPr>
              <w:pStyle w:val="BodyText"/>
              <w:spacing w:before="120" w:after="0"/>
              <w:rPr>
                <w:rFonts w:eastAsia="Times New Roman"/>
                <w:sz w:val="20"/>
                <w:szCs w:val="20"/>
              </w:rPr>
            </w:pPr>
            <w:r>
              <w:rPr>
                <w:rFonts w:eastAsia="Times New Roman"/>
                <w:sz w:val="20"/>
                <w:szCs w:val="20"/>
              </w:rPr>
              <w:t>202</w:t>
            </w:r>
            <w:r w:rsidR="00380CA3">
              <w:rPr>
                <w:rFonts w:eastAsia="Times New Roman"/>
                <w:sz w:val="20"/>
                <w:szCs w:val="20"/>
              </w:rPr>
              <w:t>1</w:t>
            </w:r>
            <w:r w:rsidRPr="002D6CCE">
              <w:rPr>
                <w:rFonts w:eastAsia="Times New Roman"/>
                <w:sz w:val="20"/>
                <w:szCs w:val="20"/>
              </w:rPr>
              <w:t>/0</w:t>
            </w:r>
            <w:r w:rsidR="00A92280">
              <w:rPr>
                <w:rFonts w:eastAsia="Times New Roman"/>
                <w:sz w:val="20"/>
                <w:szCs w:val="20"/>
              </w:rPr>
              <w:t>1</w:t>
            </w:r>
          </w:p>
        </w:tc>
        <w:tc>
          <w:tcPr>
            <w:tcW w:w="1701" w:type="dxa"/>
            <w:vMerge w:val="restart"/>
          </w:tcPr>
          <w:p w14:paraId="721AD4FD" w14:textId="77777777" w:rsidR="00324F84" w:rsidRPr="00890F7E" w:rsidRDefault="00324F84" w:rsidP="00A92280">
            <w:pPr>
              <w:pStyle w:val="BodyText"/>
              <w:spacing w:before="120" w:after="0"/>
              <w:rPr>
                <w:rFonts w:eastAsia="Times New Roman"/>
                <w:b/>
                <w:sz w:val="20"/>
                <w:szCs w:val="20"/>
              </w:rPr>
            </w:pPr>
            <w:bookmarkStart w:id="0" w:name="_Toc350781734"/>
            <w:r w:rsidRPr="00890F7E">
              <w:rPr>
                <w:rFonts w:eastAsia="Times New Roman"/>
                <w:b/>
                <w:sz w:val="20"/>
                <w:szCs w:val="20"/>
              </w:rPr>
              <w:t xml:space="preserve">Volunteerism </w:t>
            </w:r>
          </w:p>
          <w:p w14:paraId="0A69EDBE" w14:textId="77777777" w:rsidR="00324F84" w:rsidRDefault="00324F84" w:rsidP="00A92280">
            <w:pPr>
              <w:pStyle w:val="BodyText"/>
              <w:spacing w:before="120" w:after="0"/>
              <w:rPr>
                <w:rFonts w:eastAsia="Times New Roman"/>
                <w:sz w:val="20"/>
                <w:szCs w:val="20"/>
              </w:rPr>
            </w:pPr>
          </w:p>
          <w:p w14:paraId="1CD24102" w14:textId="77777777" w:rsidR="00324F84" w:rsidRPr="00506656" w:rsidRDefault="00324F84" w:rsidP="00A92280">
            <w:pPr>
              <w:pStyle w:val="BodyTextIndentBullet"/>
              <w:numPr>
                <w:ilvl w:val="0"/>
                <w:numId w:val="0"/>
              </w:numPr>
              <w:spacing w:before="120"/>
              <w:rPr>
                <w:szCs w:val="20"/>
              </w:rPr>
            </w:pPr>
            <w:r w:rsidRPr="00506656">
              <w:rPr>
                <w:szCs w:val="20"/>
              </w:rPr>
              <w:t>Risks exist around the long-term sustainability of the SAR volunteer model.</w:t>
            </w:r>
          </w:p>
          <w:p w14:paraId="491498EE" w14:textId="77777777" w:rsidR="00324F84" w:rsidRPr="00506656" w:rsidRDefault="00324F84" w:rsidP="00A92280">
            <w:pPr>
              <w:pStyle w:val="BodyText"/>
              <w:spacing w:before="120" w:after="0"/>
              <w:rPr>
                <w:rFonts w:eastAsia="Times New Roman"/>
                <w:sz w:val="20"/>
                <w:szCs w:val="20"/>
              </w:rPr>
            </w:pPr>
          </w:p>
          <w:p w14:paraId="363BCCEF" w14:textId="77777777" w:rsidR="00324F84" w:rsidRDefault="00324F84" w:rsidP="00A92280">
            <w:pPr>
              <w:pStyle w:val="BodyText"/>
              <w:spacing w:before="120" w:after="0"/>
              <w:rPr>
                <w:rFonts w:eastAsia="Times New Roman"/>
                <w:sz w:val="20"/>
                <w:szCs w:val="20"/>
              </w:rPr>
            </w:pPr>
          </w:p>
          <w:bookmarkEnd w:id="0"/>
          <w:p w14:paraId="2F31CAEF" w14:textId="77777777" w:rsidR="00324F84" w:rsidRPr="000D1DCF" w:rsidRDefault="00324F84" w:rsidP="00A92280">
            <w:pPr>
              <w:pStyle w:val="BodyText"/>
              <w:spacing w:before="120" w:after="0"/>
              <w:rPr>
                <w:rFonts w:eastAsia="Times New Roman"/>
                <w:sz w:val="20"/>
                <w:szCs w:val="20"/>
              </w:rPr>
            </w:pPr>
          </w:p>
        </w:tc>
        <w:tc>
          <w:tcPr>
            <w:tcW w:w="4253" w:type="dxa"/>
          </w:tcPr>
          <w:p w14:paraId="2443120F" w14:textId="77777777" w:rsidR="00324F84" w:rsidRPr="00506656" w:rsidRDefault="00324F84" w:rsidP="00A92280">
            <w:pPr>
              <w:pStyle w:val="BodyTextIndentBullet"/>
              <w:numPr>
                <w:ilvl w:val="0"/>
                <w:numId w:val="0"/>
              </w:numPr>
              <w:spacing w:before="120"/>
              <w:rPr>
                <w:szCs w:val="20"/>
              </w:rPr>
            </w:pPr>
            <w:r w:rsidRPr="00506656">
              <w:rPr>
                <w:szCs w:val="20"/>
              </w:rPr>
              <w:t xml:space="preserve">Changing demographics and attitudes, work and family demands impact on volunteer recruitment, </w:t>
            </w:r>
            <w:proofErr w:type="gramStart"/>
            <w:r w:rsidRPr="00506656">
              <w:rPr>
                <w:szCs w:val="20"/>
              </w:rPr>
              <w:t>availability</w:t>
            </w:r>
            <w:proofErr w:type="gramEnd"/>
            <w:r w:rsidRPr="00506656">
              <w:rPr>
                <w:szCs w:val="20"/>
              </w:rPr>
              <w:t xml:space="preserve"> and longevity with the SAR sector.  </w:t>
            </w:r>
          </w:p>
        </w:tc>
        <w:tc>
          <w:tcPr>
            <w:tcW w:w="3696" w:type="dxa"/>
            <w:vMerge w:val="restart"/>
          </w:tcPr>
          <w:p w14:paraId="3C189E1E" w14:textId="77777777" w:rsidR="00324F84" w:rsidRPr="00506656" w:rsidRDefault="00324F84" w:rsidP="00A92280">
            <w:pPr>
              <w:pStyle w:val="BodyTextIndentBullet"/>
              <w:numPr>
                <w:ilvl w:val="0"/>
                <w:numId w:val="0"/>
              </w:numPr>
              <w:spacing w:before="120"/>
              <w:rPr>
                <w:szCs w:val="20"/>
              </w:rPr>
            </w:pPr>
            <w:r w:rsidRPr="00506656">
              <w:rPr>
                <w:szCs w:val="20"/>
              </w:rPr>
              <w:t xml:space="preserve">The SAR sector is highly reliant on volunteers for the safe delivery of effective SAR services.  </w:t>
            </w:r>
          </w:p>
          <w:p w14:paraId="1776C87B" w14:textId="77777777" w:rsidR="00324F84" w:rsidRPr="00506656" w:rsidRDefault="00324F84" w:rsidP="00A92280">
            <w:pPr>
              <w:pStyle w:val="BodyTextIndentBullet"/>
              <w:spacing w:before="120"/>
              <w:ind w:left="384" w:hanging="384"/>
              <w:rPr>
                <w:szCs w:val="20"/>
              </w:rPr>
            </w:pPr>
            <w:r w:rsidRPr="00506656">
              <w:rPr>
                <w:szCs w:val="20"/>
              </w:rPr>
              <w:t xml:space="preserve">Insufficient numbers of volunteers in the right locations </w:t>
            </w:r>
            <w:proofErr w:type="gramStart"/>
            <w:r w:rsidRPr="00506656">
              <w:rPr>
                <w:szCs w:val="20"/>
              </w:rPr>
              <w:t>is</w:t>
            </w:r>
            <w:proofErr w:type="gramEnd"/>
            <w:r w:rsidRPr="00506656">
              <w:rPr>
                <w:szCs w:val="20"/>
              </w:rPr>
              <w:t xml:space="preserve"> likely to impact on the safe delivery of effective SAR services.  </w:t>
            </w:r>
          </w:p>
          <w:p w14:paraId="42F5D985" w14:textId="77777777" w:rsidR="00324F84" w:rsidRPr="00506656" w:rsidRDefault="00324F84" w:rsidP="00A92280">
            <w:pPr>
              <w:pStyle w:val="BodyTextIndentBullet"/>
              <w:spacing w:before="120"/>
              <w:ind w:left="384" w:hanging="384"/>
              <w:rPr>
                <w:szCs w:val="20"/>
              </w:rPr>
            </w:pPr>
            <w:r w:rsidRPr="00506656">
              <w:rPr>
                <w:szCs w:val="20"/>
              </w:rPr>
              <w:t>Volunteer turbulence increases the training burden and inhibits the formation of SAR leaders.</w:t>
            </w:r>
          </w:p>
          <w:p w14:paraId="6CA69E0D" w14:textId="77777777" w:rsidR="00324F84" w:rsidRPr="00506656" w:rsidRDefault="00324F84" w:rsidP="00A92280">
            <w:pPr>
              <w:pStyle w:val="BodyTextIndentBullet"/>
              <w:spacing w:before="120"/>
              <w:ind w:left="384" w:hanging="384"/>
              <w:rPr>
                <w:szCs w:val="20"/>
              </w:rPr>
            </w:pPr>
            <w:r w:rsidRPr="00506656">
              <w:rPr>
                <w:szCs w:val="20"/>
              </w:rPr>
              <w:t xml:space="preserve">Excessive demands on, and/or onerous administrative requirements deter people from volunteering and discourage existing volunteers from remaining. </w:t>
            </w:r>
          </w:p>
          <w:p w14:paraId="4F0A57A7" w14:textId="77777777" w:rsidR="00324F84" w:rsidRPr="00506656" w:rsidRDefault="00324F84" w:rsidP="00A92280">
            <w:pPr>
              <w:pStyle w:val="BodyTextIndentBullet"/>
              <w:spacing w:before="120"/>
              <w:ind w:left="384" w:hanging="384"/>
              <w:rPr>
                <w:szCs w:val="20"/>
              </w:rPr>
            </w:pPr>
            <w:r w:rsidRPr="00506656">
              <w:rPr>
                <w:szCs w:val="20"/>
              </w:rPr>
              <w:t xml:space="preserve">Infrequent utilisation for SAROPs can be dispiriting and discourage long term engagement. </w:t>
            </w:r>
          </w:p>
          <w:p w14:paraId="5AD1701E" w14:textId="77777777" w:rsidR="00324F84" w:rsidRPr="00506656" w:rsidRDefault="00324F84" w:rsidP="00A92280">
            <w:pPr>
              <w:pStyle w:val="BodyTextIndentBullet"/>
              <w:spacing w:before="120"/>
              <w:ind w:left="384" w:hanging="384"/>
              <w:rPr>
                <w:szCs w:val="20"/>
              </w:rPr>
            </w:pPr>
            <w:r w:rsidRPr="00506656">
              <w:rPr>
                <w:szCs w:val="20"/>
              </w:rPr>
              <w:t xml:space="preserve">Volunteer disengagement can lead to them to leave SAR organisations.  </w:t>
            </w:r>
          </w:p>
          <w:p w14:paraId="2FC70F8F" w14:textId="77777777" w:rsidR="00324F84" w:rsidRPr="00506656" w:rsidRDefault="00324F84" w:rsidP="00A92280">
            <w:pPr>
              <w:pStyle w:val="BodyTextIndentBullet"/>
              <w:spacing w:before="120"/>
              <w:ind w:left="384" w:hanging="384"/>
              <w:rPr>
                <w:szCs w:val="20"/>
              </w:rPr>
            </w:pPr>
            <w:r w:rsidRPr="00506656">
              <w:rPr>
                <w:szCs w:val="20"/>
              </w:rPr>
              <w:t>Stressful SAR events may cause harm to SAR personnel mental health and wellbeing.</w:t>
            </w:r>
          </w:p>
          <w:p w14:paraId="02ACA091" w14:textId="77777777" w:rsidR="00324F84" w:rsidRPr="00506656" w:rsidRDefault="00324F84" w:rsidP="00A92280">
            <w:pPr>
              <w:pStyle w:val="BodyTextIndentBullet"/>
              <w:spacing w:before="120"/>
              <w:ind w:left="384" w:hanging="384"/>
              <w:rPr>
                <w:szCs w:val="20"/>
              </w:rPr>
            </w:pPr>
            <w:r w:rsidRPr="00506656">
              <w:rPr>
                <w:szCs w:val="20"/>
              </w:rPr>
              <w:t xml:space="preserve">Non - engaged coordinating authorities, poor or inaccessible skill acquisition training, poor or infrequent SAR exercises can discourage existing volunteers from remaining. </w:t>
            </w:r>
          </w:p>
          <w:p w14:paraId="5AEAC4A8" w14:textId="07CB36EA" w:rsidR="00324F84" w:rsidRDefault="002C2716" w:rsidP="00A92280">
            <w:pPr>
              <w:pStyle w:val="BodyTextIndentBullet"/>
              <w:numPr>
                <w:ilvl w:val="0"/>
                <w:numId w:val="0"/>
              </w:numPr>
              <w:spacing w:before="120"/>
              <w:ind w:left="384"/>
              <w:rPr>
                <w:szCs w:val="20"/>
              </w:rPr>
            </w:pPr>
            <w:r>
              <w:rPr>
                <w:szCs w:val="20"/>
              </w:rPr>
              <w:t>Volunteers may come to feel undervalued, unappreciated and disengage and possibly leave the sector.</w:t>
            </w:r>
          </w:p>
          <w:p w14:paraId="1A06743F" w14:textId="04A64213" w:rsidR="0074430E" w:rsidRPr="0074430E" w:rsidRDefault="0074430E" w:rsidP="0074430E"/>
          <w:p w14:paraId="79417451" w14:textId="77777777" w:rsidR="0074430E" w:rsidRPr="0074430E" w:rsidRDefault="0074430E" w:rsidP="0074430E"/>
          <w:p w14:paraId="12093F39" w14:textId="77777777" w:rsidR="0074430E" w:rsidRPr="0074430E" w:rsidRDefault="0074430E" w:rsidP="0074430E"/>
          <w:p w14:paraId="33989652" w14:textId="7B87565E" w:rsidR="0074430E" w:rsidRPr="0074430E" w:rsidRDefault="0074430E" w:rsidP="0074430E"/>
        </w:tc>
        <w:tc>
          <w:tcPr>
            <w:tcW w:w="397" w:type="dxa"/>
            <w:vMerge w:val="restart"/>
            <w:textDirection w:val="btLr"/>
          </w:tcPr>
          <w:p w14:paraId="7FCB91BE" w14:textId="77777777" w:rsidR="00324F84" w:rsidRPr="00506656" w:rsidRDefault="00324F84" w:rsidP="00A92280">
            <w:pPr>
              <w:pStyle w:val="Heading2"/>
              <w:spacing w:before="0"/>
              <w:ind w:right="113"/>
              <w:jc w:val="center"/>
              <w:outlineLvl w:val="1"/>
              <w:rPr>
                <w:b w:val="0"/>
                <w:color w:val="auto"/>
                <w:sz w:val="20"/>
              </w:rPr>
            </w:pPr>
            <w:r w:rsidRPr="00506656">
              <w:rPr>
                <w:b w:val="0"/>
                <w:color w:val="auto"/>
                <w:sz w:val="20"/>
              </w:rPr>
              <w:t>Possible</w:t>
            </w:r>
          </w:p>
        </w:tc>
        <w:tc>
          <w:tcPr>
            <w:tcW w:w="397" w:type="dxa"/>
            <w:vMerge w:val="restart"/>
            <w:textDirection w:val="btLr"/>
          </w:tcPr>
          <w:p w14:paraId="3FA32195" w14:textId="77777777" w:rsidR="00324F84" w:rsidRPr="00506656" w:rsidRDefault="00324F84" w:rsidP="00A92280">
            <w:pPr>
              <w:pStyle w:val="Heading2"/>
              <w:spacing w:before="0" w:line="360" w:lineRule="auto"/>
              <w:ind w:right="113"/>
              <w:jc w:val="center"/>
              <w:outlineLvl w:val="1"/>
              <w:rPr>
                <w:b w:val="0"/>
                <w:color w:val="auto"/>
                <w:sz w:val="20"/>
              </w:rPr>
            </w:pPr>
            <w:r w:rsidRPr="00506656">
              <w:rPr>
                <w:b w:val="0"/>
                <w:color w:val="auto"/>
                <w:sz w:val="20"/>
              </w:rPr>
              <w:t>Major</w:t>
            </w:r>
          </w:p>
        </w:tc>
        <w:tc>
          <w:tcPr>
            <w:tcW w:w="699" w:type="dxa"/>
            <w:vMerge w:val="restart"/>
            <w:shd w:val="clear" w:color="auto" w:fill="FFFF00"/>
            <w:textDirection w:val="btLr"/>
          </w:tcPr>
          <w:p w14:paraId="704C18D5" w14:textId="1BDA228E" w:rsidR="00324F84" w:rsidRPr="00506656" w:rsidRDefault="00324F84" w:rsidP="00A92280">
            <w:pPr>
              <w:pStyle w:val="BodyText"/>
              <w:spacing w:before="120" w:after="0"/>
              <w:ind w:left="113" w:right="113"/>
              <w:jc w:val="center"/>
              <w:rPr>
                <w:rFonts w:eastAsia="Times New Roman"/>
                <w:sz w:val="20"/>
                <w:szCs w:val="20"/>
              </w:rPr>
            </w:pPr>
            <w:r w:rsidRPr="00506656">
              <w:rPr>
                <w:sz w:val="20"/>
              </w:rPr>
              <w:t>(</w:t>
            </w:r>
            <w:r w:rsidR="00380CA3">
              <w:rPr>
                <w:sz w:val="20"/>
              </w:rPr>
              <w:t>Dec 20</w:t>
            </w:r>
            <w:r w:rsidRPr="00506656">
              <w:rPr>
                <w:sz w:val="20"/>
              </w:rPr>
              <w:t>)</w:t>
            </w:r>
          </w:p>
        </w:tc>
        <w:tc>
          <w:tcPr>
            <w:tcW w:w="5442" w:type="dxa"/>
            <w:vMerge w:val="restart"/>
          </w:tcPr>
          <w:p w14:paraId="32619D10" w14:textId="6374803A" w:rsidR="00324F84" w:rsidRPr="008655D7" w:rsidRDefault="00324F84" w:rsidP="00910118">
            <w:pPr>
              <w:pStyle w:val="BodyTextIndentBullet"/>
              <w:numPr>
                <w:ilvl w:val="0"/>
                <w:numId w:val="0"/>
              </w:numPr>
              <w:spacing w:before="120"/>
              <w:rPr>
                <w:szCs w:val="20"/>
              </w:rPr>
            </w:pPr>
            <w:r w:rsidRPr="008655D7">
              <w:rPr>
                <w:b/>
                <w:szCs w:val="20"/>
              </w:rPr>
              <w:t xml:space="preserve">Risk treatment </w:t>
            </w:r>
            <w:r>
              <w:rPr>
                <w:b/>
                <w:szCs w:val="20"/>
              </w:rPr>
              <w:t>202</w:t>
            </w:r>
            <w:r w:rsidR="00380CA3">
              <w:rPr>
                <w:b/>
                <w:szCs w:val="20"/>
              </w:rPr>
              <w:t>1</w:t>
            </w:r>
            <w:r w:rsidRPr="008655D7">
              <w:rPr>
                <w:b/>
                <w:szCs w:val="20"/>
              </w:rPr>
              <w:t>/0</w:t>
            </w:r>
            <w:r w:rsidR="00A7588B">
              <w:rPr>
                <w:b/>
                <w:szCs w:val="20"/>
              </w:rPr>
              <w:t>1</w:t>
            </w:r>
            <w:r w:rsidRPr="008655D7">
              <w:rPr>
                <w:b/>
                <w:szCs w:val="20"/>
              </w:rPr>
              <w:t>/A:  Maintain sound information on SAR volunteers</w:t>
            </w:r>
          </w:p>
          <w:p w14:paraId="65D3480D" w14:textId="77777777" w:rsidR="00324F84" w:rsidRDefault="00324F84" w:rsidP="00A92280">
            <w:pPr>
              <w:pStyle w:val="BodyTextIndentBullet"/>
              <w:spacing w:before="120"/>
              <w:ind w:left="384" w:hanging="384"/>
              <w:rPr>
                <w:szCs w:val="20"/>
              </w:rPr>
            </w:pPr>
            <w:r w:rsidRPr="00506656">
              <w:rPr>
                <w:szCs w:val="20"/>
              </w:rPr>
              <w:t>In conjunction with the major SAR voluntary agencies, establish and maintain good information about</w:t>
            </w:r>
            <w:r w:rsidRPr="008655D7">
              <w:rPr>
                <w:szCs w:val="20"/>
              </w:rPr>
              <w:t xml:space="preserve"> SAR volunteers and their expectations. </w:t>
            </w:r>
          </w:p>
          <w:p w14:paraId="4AC193DF" w14:textId="77777777" w:rsidR="00324F84" w:rsidRPr="008655D7" w:rsidRDefault="00324F84" w:rsidP="00A92280">
            <w:pPr>
              <w:pStyle w:val="BodyTextIndentBullet"/>
              <w:spacing w:before="120"/>
              <w:ind w:left="384" w:hanging="384"/>
              <w:rPr>
                <w:szCs w:val="20"/>
              </w:rPr>
            </w:pPr>
            <w:r w:rsidRPr="008655D7">
              <w:rPr>
                <w:szCs w:val="20"/>
              </w:rPr>
              <w:t>Ensure NZSAR administrative requirements are not excessive.</w:t>
            </w:r>
          </w:p>
        </w:tc>
        <w:tc>
          <w:tcPr>
            <w:tcW w:w="709" w:type="dxa"/>
            <w:vMerge w:val="restart"/>
            <w:shd w:val="clear" w:color="auto" w:fill="FF0000"/>
            <w:textDirection w:val="btLr"/>
          </w:tcPr>
          <w:p w14:paraId="7F529D50" w14:textId="77777777" w:rsidR="00324F84" w:rsidRDefault="00324F84" w:rsidP="00A92280">
            <w:pPr>
              <w:pStyle w:val="BodyText"/>
              <w:spacing w:before="120" w:after="0"/>
              <w:ind w:left="113" w:right="113"/>
              <w:jc w:val="center"/>
              <w:rPr>
                <w:rFonts w:eastAsia="Times New Roman"/>
                <w:sz w:val="20"/>
                <w:szCs w:val="20"/>
              </w:rPr>
            </w:pPr>
            <w:r>
              <w:rPr>
                <w:rFonts w:eastAsia="Times New Roman"/>
                <w:sz w:val="20"/>
                <w:szCs w:val="20"/>
              </w:rPr>
              <w:t xml:space="preserve">Nil </w:t>
            </w:r>
          </w:p>
        </w:tc>
        <w:tc>
          <w:tcPr>
            <w:tcW w:w="794" w:type="dxa"/>
            <w:vMerge w:val="restart"/>
            <w:shd w:val="clear" w:color="auto" w:fill="FFFF00"/>
            <w:textDirection w:val="btLr"/>
          </w:tcPr>
          <w:p w14:paraId="1F69F4F5" w14:textId="4A278C08" w:rsidR="00324F84" w:rsidRPr="00A71DFA" w:rsidRDefault="00D91C4D" w:rsidP="00A92280">
            <w:pPr>
              <w:pStyle w:val="BodyText"/>
              <w:spacing w:after="0"/>
              <w:jc w:val="center"/>
              <w:rPr>
                <w:rFonts w:eastAsia="Times New Roman"/>
                <w:sz w:val="20"/>
                <w:szCs w:val="20"/>
              </w:rPr>
            </w:pPr>
            <w:r>
              <w:rPr>
                <w:rFonts w:eastAsia="Times New Roman"/>
                <w:sz w:val="20"/>
                <w:szCs w:val="20"/>
              </w:rPr>
              <w:t>2</w:t>
            </w:r>
            <w:r w:rsidR="00324F84">
              <w:rPr>
                <w:rFonts w:eastAsia="Times New Roman"/>
                <w:sz w:val="20"/>
                <w:szCs w:val="20"/>
              </w:rPr>
              <w:t>020 - 2</w:t>
            </w:r>
            <w:r>
              <w:rPr>
                <w:rFonts w:eastAsia="Times New Roman"/>
                <w:sz w:val="20"/>
                <w:szCs w:val="20"/>
              </w:rPr>
              <w:t>0</w:t>
            </w:r>
          </w:p>
        </w:tc>
        <w:tc>
          <w:tcPr>
            <w:tcW w:w="3260" w:type="dxa"/>
            <w:vMerge w:val="restart"/>
          </w:tcPr>
          <w:p w14:paraId="3EE72E40" w14:textId="77777777" w:rsidR="00324F84" w:rsidRPr="008655D7" w:rsidRDefault="00324F84" w:rsidP="00A92280">
            <w:pPr>
              <w:pStyle w:val="BodyText"/>
              <w:spacing w:before="120" w:after="0"/>
              <w:rPr>
                <w:rFonts w:eastAsia="Times New Roman"/>
                <w:sz w:val="20"/>
                <w:szCs w:val="20"/>
              </w:rPr>
            </w:pPr>
            <w:r w:rsidRPr="00A71DFA">
              <w:rPr>
                <w:rFonts w:eastAsia="Times New Roman"/>
                <w:sz w:val="20"/>
                <w:szCs w:val="20"/>
              </w:rPr>
              <w:t xml:space="preserve"> </w:t>
            </w:r>
          </w:p>
          <w:p w14:paraId="45E61F85" w14:textId="77777777" w:rsidR="00324F84" w:rsidRPr="008655D7" w:rsidRDefault="00324F84" w:rsidP="00A92280">
            <w:pPr>
              <w:pStyle w:val="BodyText"/>
              <w:spacing w:before="120" w:after="0"/>
              <w:rPr>
                <w:rFonts w:eastAsia="Times New Roman"/>
                <w:sz w:val="20"/>
                <w:szCs w:val="20"/>
              </w:rPr>
            </w:pPr>
            <w:r w:rsidRPr="008655D7">
              <w:rPr>
                <w:rFonts w:eastAsia="Times New Roman"/>
                <w:sz w:val="20"/>
                <w:szCs w:val="20"/>
              </w:rPr>
              <w:t>Certain volunteer positions require people with specific technical expertise (</w:t>
            </w:r>
            <w:proofErr w:type="gramStart"/>
            <w:r w:rsidRPr="008655D7">
              <w:rPr>
                <w:rFonts w:eastAsia="Times New Roman"/>
                <w:sz w:val="20"/>
                <w:szCs w:val="20"/>
              </w:rPr>
              <w:t>i.e.</w:t>
            </w:r>
            <w:proofErr w:type="gramEnd"/>
            <w:r w:rsidRPr="008655D7">
              <w:rPr>
                <w:rFonts w:eastAsia="Times New Roman"/>
                <w:sz w:val="20"/>
                <w:szCs w:val="20"/>
              </w:rPr>
              <w:t xml:space="preserve"> AREC).</w:t>
            </w:r>
          </w:p>
          <w:p w14:paraId="28541C17" w14:textId="7B39F24E" w:rsidR="00324F84" w:rsidRPr="00380CA3" w:rsidRDefault="00D8217C" w:rsidP="00A92280">
            <w:pPr>
              <w:pStyle w:val="BodyText"/>
              <w:spacing w:before="120" w:after="0"/>
              <w:rPr>
                <w:rFonts w:eastAsia="Times New Roman"/>
                <w:sz w:val="20"/>
                <w:szCs w:val="20"/>
              </w:rPr>
            </w:pPr>
            <w:r w:rsidRPr="00380CA3">
              <w:rPr>
                <w:sz w:val="20"/>
                <w:szCs w:val="20"/>
              </w:rPr>
              <w:t>Volunteer Data Standard established and agreed</w:t>
            </w:r>
          </w:p>
          <w:p w14:paraId="010F5293" w14:textId="2A73A5A2" w:rsidR="00324F84" w:rsidRPr="009441E2" w:rsidRDefault="00324F84" w:rsidP="00A92280">
            <w:pPr>
              <w:pStyle w:val="BodyText"/>
              <w:spacing w:before="120" w:after="0"/>
              <w:rPr>
                <w:rFonts w:eastAsia="Times New Roman"/>
                <w:sz w:val="20"/>
                <w:szCs w:val="20"/>
              </w:rPr>
            </w:pPr>
            <w:r w:rsidRPr="008655D7">
              <w:rPr>
                <w:rFonts w:eastAsia="Times New Roman"/>
                <w:sz w:val="20"/>
                <w:szCs w:val="20"/>
              </w:rPr>
              <w:t xml:space="preserve">The NZSAR Environmental Scan includes commentary on the changing nature of volunteerism in NZ society </w:t>
            </w:r>
          </w:p>
        </w:tc>
      </w:tr>
      <w:tr w:rsidR="00324F84" w:rsidRPr="00286A2D" w14:paraId="3174F9F2" w14:textId="77777777" w:rsidTr="00D91C4D">
        <w:trPr>
          <w:trHeight w:val="350"/>
        </w:trPr>
        <w:tc>
          <w:tcPr>
            <w:tcW w:w="993" w:type="dxa"/>
            <w:vMerge/>
          </w:tcPr>
          <w:p w14:paraId="706CA3BF" w14:textId="77777777" w:rsidR="00324F84" w:rsidRPr="002D6CCE" w:rsidRDefault="00324F84" w:rsidP="00A92280">
            <w:pPr>
              <w:pStyle w:val="BodyText"/>
              <w:spacing w:before="120" w:after="0"/>
              <w:rPr>
                <w:rFonts w:eastAsia="Times New Roman"/>
                <w:sz w:val="20"/>
                <w:szCs w:val="20"/>
              </w:rPr>
            </w:pPr>
          </w:p>
        </w:tc>
        <w:tc>
          <w:tcPr>
            <w:tcW w:w="1701" w:type="dxa"/>
            <w:vMerge/>
          </w:tcPr>
          <w:p w14:paraId="12D2C55C" w14:textId="77777777" w:rsidR="00324F84" w:rsidRPr="00890F7E" w:rsidRDefault="00324F84" w:rsidP="00A92280">
            <w:pPr>
              <w:pStyle w:val="BodyText"/>
              <w:spacing w:before="120" w:after="0"/>
              <w:rPr>
                <w:rFonts w:eastAsia="Times New Roman"/>
                <w:b/>
                <w:sz w:val="20"/>
                <w:szCs w:val="20"/>
              </w:rPr>
            </w:pPr>
          </w:p>
        </w:tc>
        <w:tc>
          <w:tcPr>
            <w:tcW w:w="4253" w:type="dxa"/>
            <w:vMerge w:val="restart"/>
          </w:tcPr>
          <w:p w14:paraId="3AEA0E59" w14:textId="77777777" w:rsidR="00324F84" w:rsidRPr="00506656" w:rsidRDefault="00324F84" w:rsidP="00A92280">
            <w:pPr>
              <w:pStyle w:val="BodyTextIndentBullet"/>
              <w:spacing w:before="120"/>
              <w:ind w:left="0"/>
              <w:rPr>
                <w:szCs w:val="20"/>
              </w:rPr>
            </w:pPr>
            <w:r w:rsidRPr="00506656">
              <w:rPr>
                <w:szCs w:val="20"/>
              </w:rPr>
              <w:t xml:space="preserve">Volunteers can be asked to undertake tasks different to what they joined to do </w:t>
            </w:r>
            <w:proofErr w:type="gramStart"/>
            <w:r w:rsidRPr="00506656">
              <w:rPr>
                <w:szCs w:val="20"/>
              </w:rPr>
              <w:t>i.e.</w:t>
            </w:r>
            <w:proofErr w:type="gramEnd"/>
            <w:r w:rsidRPr="00506656">
              <w:rPr>
                <w:szCs w:val="20"/>
              </w:rPr>
              <w:t xml:space="preserve"> fundraising, administration etc</w:t>
            </w:r>
          </w:p>
          <w:p w14:paraId="40354173" w14:textId="77777777" w:rsidR="00324F84" w:rsidRPr="00506656" w:rsidRDefault="00324F84" w:rsidP="00A92280">
            <w:pPr>
              <w:pStyle w:val="BodyTextIndentBullet"/>
              <w:spacing w:before="120"/>
              <w:ind w:left="0"/>
              <w:rPr>
                <w:szCs w:val="20"/>
              </w:rPr>
            </w:pPr>
            <w:r w:rsidRPr="00506656">
              <w:rPr>
                <w:szCs w:val="20"/>
              </w:rPr>
              <w:t xml:space="preserve">Increased compliance, legal </w:t>
            </w:r>
            <w:proofErr w:type="gramStart"/>
            <w:r w:rsidRPr="00506656">
              <w:rPr>
                <w:szCs w:val="20"/>
              </w:rPr>
              <w:t>responsibilities</w:t>
            </w:r>
            <w:proofErr w:type="gramEnd"/>
            <w:r w:rsidRPr="00506656">
              <w:rPr>
                <w:szCs w:val="20"/>
              </w:rPr>
              <w:t xml:space="preserve"> and other duties </w:t>
            </w:r>
          </w:p>
          <w:p w14:paraId="561CBFCD" w14:textId="77777777" w:rsidR="00324F84" w:rsidRPr="00506656" w:rsidRDefault="00324F84" w:rsidP="00A92280">
            <w:pPr>
              <w:pStyle w:val="BodyTextIndentBullet"/>
              <w:spacing w:before="120"/>
              <w:ind w:left="0"/>
              <w:rPr>
                <w:szCs w:val="20"/>
              </w:rPr>
            </w:pPr>
          </w:p>
        </w:tc>
        <w:tc>
          <w:tcPr>
            <w:tcW w:w="3696" w:type="dxa"/>
            <w:vMerge/>
          </w:tcPr>
          <w:p w14:paraId="27F71250" w14:textId="77777777" w:rsidR="00324F84" w:rsidRPr="00506656" w:rsidRDefault="00324F84" w:rsidP="00A92280">
            <w:pPr>
              <w:pStyle w:val="BodyTextIndentBullet"/>
              <w:numPr>
                <w:ilvl w:val="0"/>
                <w:numId w:val="0"/>
              </w:numPr>
              <w:spacing w:before="120"/>
              <w:rPr>
                <w:szCs w:val="20"/>
              </w:rPr>
            </w:pPr>
          </w:p>
        </w:tc>
        <w:tc>
          <w:tcPr>
            <w:tcW w:w="397" w:type="dxa"/>
            <w:vMerge/>
            <w:textDirection w:val="btLr"/>
          </w:tcPr>
          <w:p w14:paraId="4C863DAF" w14:textId="77777777" w:rsidR="00324F84" w:rsidRDefault="00324F84" w:rsidP="00A92280">
            <w:pPr>
              <w:pStyle w:val="Heading2"/>
              <w:spacing w:before="0"/>
              <w:ind w:right="113"/>
              <w:jc w:val="center"/>
              <w:outlineLvl w:val="1"/>
              <w:rPr>
                <w:b w:val="0"/>
                <w:color w:val="auto"/>
                <w:sz w:val="20"/>
              </w:rPr>
            </w:pPr>
          </w:p>
        </w:tc>
        <w:tc>
          <w:tcPr>
            <w:tcW w:w="397" w:type="dxa"/>
            <w:vMerge/>
            <w:textDirection w:val="btLr"/>
          </w:tcPr>
          <w:p w14:paraId="54F94C5F" w14:textId="77777777" w:rsidR="00324F84" w:rsidRDefault="00324F84" w:rsidP="00A92280">
            <w:pPr>
              <w:pStyle w:val="Heading2"/>
              <w:spacing w:before="0" w:line="360" w:lineRule="auto"/>
              <w:ind w:right="113"/>
              <w:jc w:val="center"/>
              <w:outlineLvl w:val="1"/>
              <w:rPr>
                <w:b w:val="0"/>
                <w:color w:val="auto"/>
                <w:sz w:val="20"/>
              </w:rPr>
            </w:pPr>
          </w:p>
        </w:tc>
        <w:tc>
          <w:tcPr>
            <w:tcW w:w="699" w:type="dxa"/>
            <w:vMerge/>
            <w:shd w:val="clear" w:color="auto" w:fill="FFFF00"/>
            <w:textDirection w:val="btLr"/>
          </w:tcPr>
          <w:p w14:paraId="7AF3C4A1" w14:textId="77777777" w:rsidR="00324F84" w:rsidRPr="00506656" w:rsidRDefault="00324F84" w:rsidP="00A92280">
            <w:pPr>
              <w:pStyle w:val="BodyText"/>
              <w:spacing w:before="120" w:after="0"/>
              <w:ind w:left="113" w:right="113"/>
              <w:jc w:val="center"/>
              <w:rPr>
                <w:sz w:val="20"/>
              </w:rPr>
            </w:pPr>
          </w:p>
        </w:tc>
        <w:tc>
          <w:tcPr>
            <w:tcW w:w="5442" w:type="dxa"/>
            <w:vMerge/>
          </w:tcPr>
          <w:p w14:paraId="74CB58CF" w14:textId="77777777" w:rsidR="00324F84" w:rsidRPr="008655D7" w:rsidRDefault="00324F84" w:rsidP="00A92280">
            <w:pPr>
              <w:pStyle w:val="BodyTextIndentBullet"/>
              <w:numPr>
                <w:ilvl w:val="0"/>
                <w:numId w:val="0"/>
              </w:numPr>
              <w:spacing w:before="120"/>
              <w:ind w:left="384"/>
              <w:rPr>
                <w:b/>
                <w:szCs w:val="20"/>
              </w:rPr>
            </w:pPr>
          </w:p>
        </w:tc>
        <w:tc>
          <w:tcPr>
            <w:tcW w:w="709" w:type="dxa"/>
            <w:vMerge/>
            <w:shd w:val="clear" w:color="auto" w:fill="FF0000"/>
          </w:tcPr>
          <w:p w14:paraId="381AF503" w14:textId="77777777" w:rsidR="00324F84" w:rsidRDefault="00324F84" w:rsidP="00A92280">
            <w:pPr>
              <w:pStyle w:val="BodyText"/>
              <w:spacing w:before="120" w:after="0"/>
              <w:jc w:val="center"/>
              <w:rPr>
                <w:rFonts w:eastAsia="Times New Roman"/>
                <w:sz w:val="20"/>
                <w:szCs w:val="20"/>
              </w:rPr>
            </w:pPr>
          </w:p>
        </w:tc>
        <w:tc>
          <w:tcPr>
            <w:tcW w:w="794" w:type="dxa"/>
            <w:vMerge/>
            <w:shd w:val="clear" w:color="auto" w:fill="FFFF00"/>
            <w:textDirection w:val="btLr"/>
          </w:tcPr>
          <w:p w14:paraId="7D3638A5" w14:textId="77777777" w:rsidR="00324F84" w:rsidRDefault="00324F84" w:rsidP="00A92280">
            <w:pPr>
              <w:pStyle w:val="BodyText"/>
              <w:spacing w:after="0"/>
              <w:jc w:val="center"/>
              <w:rPr>
                <w:rFonts w:eastAsia="Times New Roman"/>
                <w:sz w:val="20"/>
                <w:szCs w:val="20"/>
              </w:rPr>
            </w:pPr>
          </w:p>
        </w:tc>
        <w:tc>
          <w:tcPr>
            <w:tcW w:w="3260" w:type="dxa"/>
            <w:vMerge/>
          </w:tcPr>
          <w:p w14:paraId="242819DD" w14:textId="77777777" w:rsidR="00324F84" w:rsidRPr="00A71DFA" w:rsidRDefault="00324F84" w:rsidP="00A92280">
            <w:pPr>
              <w:pStyle w:val="BodyText"/>
              <w:spacing w:before="120" w:after="0"/>
              <w:rPr>
                <w:rFonts w:eastAsia="Times New Roman"/>
                <w:sz w:val="20"/>
                <w:szCs w:val="20"/>
              </w:rPr>
            </w:pPr>
          </w:p>
        </w:tc>
      </w:tr>
      <w:tr w:rsidR="00324F84" w:rsidRPr="00286A2D" w14:paraId="3F4CA7A9" w14:textId="77777777" w:rsidTr="00A92280">
        <w:trPr>
          <w:trHeight w:val="886"/>
        </w:trPr>
        <w:tc>
          <w:tcPr>
            <w:tcW w:w="993" w:type="dxa"/>
            <w:vMerge/>
          </w:tcPr>
          <w:p w14:paraId="6FA57767" w14:textId="77777777" w:rsidR="00324F84" w:rsidRPr="002D6CCE" w:rsidRDefault="00324F84" w:rsidP="00A92280">
            <w:pPr>
              <w:pStyle w:val="BodyText"/>
              <w:spacing w:before="120" w:after="0"/>
              <w:rPr>
                <w:rFonts w:eastAsia="Times New Roman"/>
                <w:sz w:val="20"/>
                <w:szCs w:val="20"/>
              </w:rPr>
            </w:pPr>
          </w:p>
        </w:tc>
        <w:tc>
          <w:tcPr>
            <w:tcW w:w="1701" w:type="dxa"/>
            <w:vMerge/>
          </w:tcPr>
          <w:p w14:paraId="39E296FD" w14:textId="77777777" w:rsidR="00324F84" w:rsidRPr="00890F7E" w:rsidRDefault="00324F84" w:rsidP="00A92280">
            <w:pPr>
              <w:pStyle w:val="BodyText"/>
              <w:spacing w:before="120" w:after="0"/>
              <w:rPr>
                <w:rFonts w:eastAsia="Times New Roman"/>
                <w:b/>
                <w:sz w:val="20"/>
                <w:szCs w:val="20"/>
              </w:rPr>
            </w:pPr>
          </w:p>
        </w:tc>
        <w:tc>
          <w:tcPr>
            <w:tcW w:w="4253" w:type="dxa"/>
            <w:vMerge/>
          </w:tcPr>
          <w:p w14:paraId="44C74964" w14:textId="77777777" w:rsidR="00324F84" w:rsidRPr="008655D7" w:rsidRDefault="00324F84" w:rsidP="00A92280">
            <w:pPr>
              <w:pStyle w:val="BodyTextIndentBullet"/>
              <w:spacing w:before="120"/>
              <w:ind w:left="0"/>
              <w:rPr>
                <w:szCs w:val="20"/>
              </w:rPr>
            </w:pPr>
          </w:p>
        </w:tc>
        <w:tc>
          <w:tcPr>
            <w:tcW w:w="3696" w:type="dxa"/>
            <w:vMerge/>
          </w:tcPr>
          <w:p w14:paraId="2C57673B" w14:textId="77777777" w:rsidR="00324F84" w:rsidRPr="008655D7" w:rsidRDefault="00324F84" w:rsidP="00A92280">
            <w:pPr>
              <w:pStyle w:val="BodyTextIndentBullet"/>
              <w:numPr>
                <w:ilvl w:val="0"/>
                <w:numId w:val="0"/>
              </w:numPr>
              <w:spacing w:before="120"/>
              <w:rPr>
                <w:szCs w:val="20"/>
              </w:rPr>
            </w:pPr>
          </w:p>
        </w:tc>
        <w:tc>
          <w:tcPr>
            <w:tcW w:w="397" w:type="dxa"/>
            <w:vMerge/>
            <w:textDirection w:val="btLr"/>
          </w:tcPr>
          <w:p w14:paraId="30201D79" w14:textId="77777777" w:rsidR="00324F84" w:rsidRDefault="00324F84" w:rsidP="00A92280">
            <w:pPr>
              <w:pStyle w:val="Heading2"/>
              <w:spacing w:before="0"/>
              <w:ind w:right="113"/>
              <w:jc w:val="center"/>
              <w:outlineLvl w:val="1"/>
              <w:rPr>
                <w:b w:val="0"/>
                <w:color w:val="auto"/>
                <w:sz w:val="20"/>
              </w:rPr>
            </w:pPr>
          </w:p>
        </w:tc>
        <w:tc>
          <w:tcPr>
            <w:tcW w:w="397" w:type="dxa"/>
            <w:vMerge/>
            <w:textDirection w:val="btLr"/>
          </w:tcPr>
          <w:p w14:paraId="5B177908" w14:textId="77777777" w:rsidR="00324F84" w:rsidRDefault="00324F84" w:rsidP="00A92280">
            <w:pPr>
              <w:pStyle w:val="Heading2"/>
              <w:spacing w:before="0" w:line="360" w:lineRule="auto"/>
              <w:ind w:right="113"/>
              <w:jc w:val="center"/>
              <w:outlineLvl w:val="1"/>
              <w:rPr>
                <w:b w:val="0"/>
                <w:color w:val="auto"/>
                <w:sz w:val="20"/>
              </w:rPr>
            </w:pPr>
          </w:p>
        </w:tc>
        <w:tc>
          <w:tcPr>
            <w:tcW w:w="699" w:type="dxa"/>
            <w:vMerge/>
            <w:shd w:val="clear" w:color="auto" w:fill="FFFF00"/>
            <w:textDirection w:val="btLr"/>
          </w:tcPr>
          <w:p w14:paraId="2E8B0C16" w14:textId="77777777" w:rsidR="00324F84" w:rsidRPr="00506656" w:rsidRDefault="00324F84" w:rsidP="00A92280">
            <w:pPr>
              <w:pStyle w:val="BodyText"/>
              <w:spacing w:before="120" w:after="0"/>
              <w:ind w:left="113" w:right="113"/>
              <w:jc w:val="center"/>
              <w:rPr>
                <w:sz w:val="20"/>
              </w:rPr>
            </w:pPr>
          </w:p>
        </w:tc>
        <w:tc>
          <w:tcPr>
            <w:tcW w:w="5442" w:type="dxa"/>
            <w:vMerge/>
          </w:tcPr>
          <w:p w14:paraId="275B7C37" w14:textId="77777777" w:rsidR="00324F84" w:rsidRPr="008655D7" w:rsidRDefault="00324F84" w:rsidP="00A92280">
            <w:pPr>
              <w:pStyle w:val="BodyTextIndentBullet"/>
              <w:numPr>
                <w:ilvl w:val="0"/>
                <w:numId w:val="0"/>
              </w:numPr>
              <w:spacing w:before="120"/>
              <w:ind w:left="384"/>
              <w:rPr>
                <w:b/>
                <w:szCs w:val="20"/>
              </w:rPr>
            </w:pPr>
          </w:p>
        </w:tc>
        <w:tc>
          <w:tcPr>
            <w:tcW w:w="709" w:type="dxa"/>
            <w:shd w:val="clear" w:color="auto" w:fill="00B050"/>
            <w:textDirection w:val="btLr"/>
          </w:tcPr>
          <w:p w14:paraId="7BB903BF" w14:textId="77777777" w:rsidR="00324F84" w:rsidRDefault="00324F84" w:rsidP="00A92280">
            <w:pPr>
              <w:pStyle w:val="BodyText"/>
              <w:spacing w:before="120" w:after="0"/>
              <w:ind w:left="113" w:right="113"/>
              <w:jc w:val="center"/>
              <w:rPr>
                <w:rFonts w:eastAsia="Times New Roman"/>
                <w:sz w:val="20"/>
                <w:szCs w:val="20"/>
              </w:rPr>
            </w:pPr>
            <w:r>
              <w:rPr>
                <w:rFonts w:eastAsia="Times New Roman"/>
                <w:sz w:val="20"/>
                <w:szCs w:val="20"/>
              </w:rPr>
              <w:t>Full</w:t>
            </w:r>
          </w:p>
        </w:tc>
        <w:tc>
          <w:tcPr>
            <w:tcW w:w="794" w:type="dxa"/>
            <w:shd w:val="clear" w:color="auto" w:fill="00B050"/>
            <w:textDirection w:val="btLr"/>
          </w:tcPr>
          <w:p w14:paraId="03D1B851" w14:textId="77777777" w:rsidR="00324F84" w:rsidRDefault="00324F84" w:rsidP="00A92280">
            <w:pPr>
              <w:pStyle w:val="BodyText"/>
              <w:spacing w:after="0"/>
              <w:jc w:val="center"/>
              <w:rPr>
                <w:rFonts w:eastAsia="Times New Roman"/>
                <w:sz w:val="20"/>
                <w:szCs w:val="20"/>
              </w:rPr>
            </w:pPr>
            <w:r>
              <w:rPr>
                <w:rFonts w:eastAsia="Times New Roman"/>
                <w:sz w:val="20"/>
                <w:szCs w:val="20"/>
              </w:rPr>
              <w:t>Ongoing</w:t>
            </w:r>
          </w:p>
        </w:tc>
        <w:tc>
          <w:tcPr>
            <w:tcW w:w="3260" w:type="dxa"/>
            <w:vMerge/>
          </w:tcPr>
          <w:p w14:paraId="1F98ADB4" w14:textId="77777777" w:rsidR="00324F84" w:rsidRPr="00A71DFA" w:rsidRDefault="00324F84" w:rsidP="00A92280">
            <w:pPr>
              <w:pStyle w:val="BodyText"/>
              <w:spacing w:before="120" w:after="0"/>
              <w:rPr>
                <w:rFonts w:eastAsia="Times New Roman"/>
                <w:sz w:val="20"/>
                <w:szCs w:val="20"/>
              </w:rPr>
            </w:pPr>
          </w:p>
        </w:tc>
      </w:tr>
      <w:tr w:rsidR="00324F84" w:rsidRPr="00286A2D" w14:paraId="0521FB2A" w14:textId="77777777" w:rsidTr="00A92280">
        <w:trPr>
          <w:trHeight w:val="350"/>
        </w:trPr>
        <w:tc>
          <w:tcPr>
            <w:tcW w:w="993" w:type="dxa"/>
            <w:vMerge/>
          </w:tcPr>
          <w:p w14:paraId="7AC8CCFE" w14:textId="77777777" w:rsidR="00324F84" w:rsidRPr="002D6CCE" w:rsidRDefault="00324F84" w:rsidP="00A92280">
            <w:pPr>
              <w:pStyle w:val="BodyText"/>
              <w:spacing w:before="120" w:after="0"/>
              <w:rPr>
                <w:rFonts w:eastAsia="Times New Roman"/>
                <w:sz w:val="20"/>
                <w:szCs w:val="20"/>
              </w:rPr>
            </w:pPr>
          </w:p>
        </w:tc>
        <w:tc>
          <w:tcPr>
            <w:tcW w:w="1701" w:type="dxa"/>
            <w:vMerge/>
          </w:tcPr>
          <w:p w14:paraId="046D1ADF" w14:textId="77777777" w:rsidR="00324F84" w:rsidRPr="00890F7E" w:rsidRDefault="00324F84" w:rsidP="00A92280">
            <w:pPr>
              <w:pStyle w:val="BodyText"/>
              <w:spacing w:before="120" w:after="0"/>
              <w:rPr>
                <w:rFonts w:eastAsia="Times New Roman"/>
                <w:b/>
                <w:sz w:val="20"/>
                <w:szCs w:val="20"/>
              </w:rPr>
            </w:pPr>
          </w:p>
        </w:tc>
        <w:tc>
          <w:tcPr>
            <w:tcW w:w="4253" w:type="dxa"/>
            <w:vMerge/>
          </w:tcPr>
          <w:p w14:paraId="68AC9462" w14:textId="77777777" w:rsidR="00324F84" w:rsidRPr="008655D7" w:rsidRDefault="00324F84" w:rsidP="00A92280">
            <w:pPr>
              <w:pStyle w:val="BodyTextIndentBullet"/>
              <w:spacing w:before="120"/>
              <w:ind w:left="0"/>
              <w:rPr>
                <w:szCs w:val="20"/>
              </w:rPr>
            </w:pPr>
          </w:p>
        </w:tc>
        <w:tc>
          <w:tcPr>
            <w:tcW w:w="3696" w:type="dxa"/>
            <w:vMerge/>
          </w:tcPr>
          <w:p w14:paraId="3FC5565B" w14:textId="77777777" w:rsidR="00324F84" w:rsidRPr="008655D7" w:rsidRDefault="00324F84" w:rsidP="00A92280">
            <w:pPr>
              <w:pStyle w:val="BodyTextIndentBullet"/>
              <w:numPr>
                <w:ilvl w:val="0"/>
                <w:numId w:val="0"/>
              </w:numPr>
              <w:spacing w:before="120"/>
              <w:rPr>
                <w:szCs w:val="20"/>
              </w:rPr>
            </w:pPr>
          </w:p>
        </w:tc>
        <w:tc>
          <w:tcPr>
            <w:tcW w:w="397" w:type="dxa"/>
            <w:vMerge/>
            <w:textDirection w:val="btLr"/>
          </w:tcPr>
          <w:p w14:paraId="108ECA56" w14:textId="77777777" w:rsidR="00324F84" w:rsidRDefault="00324F84" w:rsidP="00A92280">
            <w:pPr>
              <w:pStyle w:val="Heading2"/>
              <w:spacing w:before="0"/>
              <w:ind w:right="113"/>
              <w:jc w:val="center"/>
              <w:outlineLvl w:val="1"/>
              <w:rPr>
                <w:b w:val="0"/>
                <w:color w:val="auto"/>
                <w:sz w:val="20"/>
              </w:rPr>
            </w:pPr>
          </w:p>
        </w:tc>
        <w:tc>
          <w:tcPr>
            <w:tcW w:w="397" w:type="dxa"/>
            <w:vMerge/>
            <w:textDirection w:val="btLr"/>
          </w:tcPr>
          <w:p w14:paraId="50F50096" w14:textId="77777777" w:rsidR="00324F84" w:rsidRDefault="00324F84" w:rsidP="00A92280">
            <w:pPr>
              <w:pStyle w:val="Heading2"/>
              <w:spacing w:before="0" w:line="360" w:lineRule="auto"/>
              <w:ind w:right="113"/>
              <w:jc w:val="center"/>
              <w:outlineLvl w:val="1"/>
              <w:rPr>
                <w:b w:val="0"/>
                <w:color w:val="auto"/>
                <w:sz w:val="20"/>
              </w:rPr>
            </w:pPr>
          </w:p>
        </w:tc>
        <w:tc>
          <w:tcPr>
            <w:tcW w:w="699" w:type="dxa"/>
            <w:vMerge/>
            <w:shd w:val="clear" w:color="auto" w:fill="FFFF00"/>
            <w:textDirection w:val="btLr"/>
          </w:tcPr>
          <w:p w14:paraId="62244EEF" w14:textId="77777777" w:rsidR="00324F84" w:rsidRPr="00506656" w:rsidRDefault="00324F84" w:rsidP="00A92280">
            <w:pPr>
              <w:pStyle w:val="BodyText"/>
              <w:spacing w:before="120" w:after="0"/>
              <w:ind w:left="113" w:right="113"/>
              <w:jc w:val="center"/>
              <w:rPr>
                <w:sz w:val="20"/>
              </w:rPr>
            </w:pPr>
          </w:p>
        </w:tc>
        <w:tc>
          <w:tcPr>
            <w:tcW w:w="5442" w:type="dxa"/>
            <w:vMerge w:val="restart"/>
          </w:tcPr>
          <w:p w14:paraId="25F51BDD" w14:textId="3EB66FF6" w:rsidR="00324F84" w:rsidRPr="008655D7" w:rsidRDefault="00324F84" w:rsidP="00910118">
            <w:pPr>
              <w:pStyle w:val="BodyTextIndentBullet"/>
              <w:numPr>
                <w:ilvl w:val="0"/>
                <w:numId w:val="0"/>
              </w:numPr>
              <w:spacing w:before="120"/>
              <w:rPr>
                <w:szCs w:val="20"/>
              </w:rPr>
            </w:pPr>
            <w:r w:rsidRPr="008655D7">
              <w:rPr>
                <w:b/>
                <w:szCs w:val="20"/>
              </w:rPr>
              <w:t xml:space="preserve">Risk treatment </w:t>
            </w:r>
            <w:r>
              <w:rPr>
                <w:b/>
                <w:szCs w:val="20"/>
              </w:rPr>
              <w:t>202</w:t>
            </w:r>
            <w:r w:rsidR="00380CA3">
              <w:rPr>
                <w:b/>
                <w:szCs w:val="20"/>
              </w:rPr>
              <w:t>1</w:t>
            </w:r>
            <w:r w:rsidRPr="008655D7">
              <w:rPr>
                <w:b/>
                <w:szCs w:val="20"/>
              </w:rPr>
              <w:t>/0</w:t>
            </w:r>
            <w:r w:rsidR="00A7588B">
              <w:rPr>
                <w:b/>
                <w:szCs w:val="20"/>
              </w:rPr>
              <w:t>1</w:t>
            </w:r>
            <w:r w:rsidRPr="008655D7">
              <w:rPr>
                <w:b/>
                <w:szCs w:val="20"/>
              </w:rPr>
              <w:t xml:space="preserve">/B:  </w:t>
            </w:r>
            <w:r>
              <w:rPr>
                <w:b/>
                <w:szCs w:val="20"/>
              </w:rPr>
              <w:t>M</w:t>
            </w:r>
            <w:r w:rsidRPr="008655D7">
              <w:rPr>
                <w:b/>
                <w:szCs w:val="20"/>
              </w:rPr>
              <w:t>aintain volunteer strategies</w:t>
            </w:r>
          </w:p>
          <w:p w14:paraId="473ABC7C" w14:textId="4BFDC70C" w:rsidR="00324F84" w:rsidRPr="008655D7" w:rsidRDefault="00324F84" w:rsidP="00A92280">
            <w:pPr>
              <w:pStyle w:val="BodyTextIndentBullet"/>
              <w:spacing w:before="120"/>
              <w:ind w:left="384" w:hanging="384"/>
              <w:rPr>
                <w:szCs w:val="20"/>
              </w:rPr>
            </w:pPr>
            <w:r w:rsidRPr="008655D7">
              <w:rPr>
                <w:szCs w:val="20"/>
              </w:rPr>
              <w:t xml:space="preserve">Assist Coastguard NZ, LandSAR NZ, SLSNZ and AREC to develop and maintain their own volunteer strategies focussing on the recruitment, </w:t>
            </w:r>
            <w:proofErr w:type="gramStart"/>
            <w:r w:rsidRPr="008655D7">
              <w:rPr>
                <w:szCs w:val="20"/>
              </w:rPr>
              <w:t>retention</w:t>
            </w:r>
            <w:proofErr w:type="gramEnd"/>
            <w:r w:rsidRPr="008655D7">
              <w:rPr>
                <w:szCs w:val="20"/>
              </w:rPr>
              <w:t xml:space="preserve"> and engagement of effective SAR volunteers reflective of NZ </w:t>
            </w:r>
            <w:r w:rsidR="002C2716">
              <w:rPr>
                <w:szCs w:val="20"/>
              </w:rPr>
              <w:t>s</w:t>
            </w:r>
            <w:r w:rsidRPr="008655D7">
              <w:rPr>
                <w:szCs w:val="20"/>
              </w:rPr>
              <w:t xml:space="preserve">ociety. </w:t>
            </w:r>
          </w:p>
          <w:p w14:paraId="335DBAAA" w14:textId="77777777" w:rsidR="00324F84" w:rsidRPr="008655D7" w:rsidRDefault="00324F84" w:rsidP="00A92280">
            <w:pPr>
              <w:pStyle w:val="BodyTextIndentBullet"/>
              <w:spacing w:before="120"/>
              <w:ind w:left="384" w:hanging="384"/>
              <w:rPr>
                <w:szCs w:val="20"/>
              </w:rPr>
            </w:pPr>
            <w:r w:rsidRPr="008655D7">
              <w:rPr>
                <w:szCs w:val="20"/>
              </w:rPr>
              <w:t xml:space="preserve">Work with agencies to develop and maintain appropriate mental health, </w:t>
            </w:r>
            <w:proofErr w:type="gramStart"/>
            <w:r w:rsidRPr="008655D7">
              <w:rPr>
                <w:szCs w:val="20"/>
              </w:rPr>
              <w:t>wellbeing</w:t>
            </w:r>
            <w:proofErr w:type="gramEnd"/>
            <w:r w:rsidRPr="008655D7">
              <w:rPr>
                <w:szCs w:val="20"/>
              </w:rPr>
              <w:t xml:space="preserve"> and peer support processes. </w:t>
            </w:r>
          </w:p>
        </w:tc>
        <w:tc>
          <w:tcPr>
            <w:tcW w:w="709" w:type="dxa"/>
            <w:vMerge w:val="restart"/>
            <w:shd w:val="clear" w:color="auto" w:fill="FFFF00"/>
            <w:textDirection w:val="btLr"/>
          </w:tcPr>
          <w:p w14:paraId="2DCEC887" w14:textId="77777777" w:rsidR="00324F84" w:rsidRDefault="00324F84" w:rsidP="00A92280">
            <w:pPr>
              <w:pStyle w:val="BodyText"/>
              <w:spacing w:before="120" w:after="0"/>
              <w:ind w:left="113" w:right="113"/>
              <w:jc w:val="center"/>
              <w:rPr>
                <w:rFonts w:eastAsia="Times New Roman"/>
                <w:sz w:val="20"/>
                <w:szCs w:val="20"/>
              </w:rPr>
            </w:pPr>
            <w:r>
              <w:rPr>
                <w:rFonts w:eastAsia="Times New Roman"/>
                <w:sz w:val="20"/>
                <w:szCs w:val="20"/>
              </w:rPr>
              <w:t>Partial</w:t>
            </w:r>
          </w:p>
        </w:tc>
        <w:tc>
          <w:tcPr>
            <w:tcW w:w="794" w:type="dxa"/>
            <w:vMerge w:val="restart"/>
            <w:shd w:val="clear" w:color="auto" w:fill="00B050"/>
            <w:textDirection w:val="btLr"/>
          </w:tcPr>
          <w:p w14:paraId="70EFA26E" w14:textId="17B2F7D4" w:rsidR="00324F84" w:rsidRDefault="00324F84" w:rsidP="00A92280">
            <w:pPr>
              <w:pStyle w:val="BodyText"/>
              <w:spacing w:after="0"/>
              <w:jc w:val="center"/>
              <w:rPr>
                <w:rFonts w:eastAsia="Times New Roman"/>
                <w:sz w:val="20"/>
                <w:szCs w:val="20"/>
              </w:rPr>
            </w:pPr>
            <w:r>
              <w:rPr>
                <w:rFonts w:eastAsia="Times New Roman"/>
                <w:sz w:val="20"/>
                <w:szCs w:val="20"/>
              </w:rPr>
              <w:t>2020 - 2</w:t>
            </w:r>
            <w:r w:rsidR="004D4376">
              <w:rPr>
                <w:rFonts w:eastAsia="Times New Roman"/>
                <w:sz w:val="20"/>
                <w:szCs w:val="20"/>
              </w:rPr>
              <w:t>1</w:t>
            </w:r>
          </w:p>
        </w:tc>
        <w:tc>
          <w:tcPr>
            <w:tcW w:w="3260" w:type="dxa"/>
            <w:vMerge w:val="restart"/>
          </w:tcPr>
          <w:p w14:paraId="3437496D" w14:textId="77777777" w:rsidR="00324F84" w:rsidRPr="008655D7" w:rsidRDefault="00324F84" w:rsidP="00A92280">
            <w:pPr>
              <w:pStyle w:val="BodyText"/>
              <w:spacing w:before="120" w:after="0"/>
              <w:rPr>
                <w:rFonts w:eastAsia="Times New Roman"/>
                <w:sz w:val="20"/>
                <w:szCs w:val="20"/>
              </w:rPr>
            </w:pPr>
          </w:p>
          <w:p w14:paraId="4808B0FD" w14:textId="4E41F16D" w:rsidR="00324F84" w:rsidRPr="00380CA3" w:rsidRDefault="00324F84" w:rsidP="00A92280">
            <w:pPr>
              <w:pStyle w:val="BodyText"/>
              <w:spacing w:before="120" w:after="0"/>
              <w:rPr>
                <w:rFonts w:eastAsia="Times New Roman"/>
                <w:sz w:val="20"/>
                <w:szCs w:val="20"/>
              </w:rPr>
            </w:pPr>
            <w:r>
              <w:rPr>
                <w:rFonts w:eastAsia="Times New Roman"/>
                <w:sz w:val="20"/>
                <w:szCs w:val="20"/>
              </w:rPr>
              <w:t xml:space="preserve">NZSAR Volunteer study and </w:t>
            </w:r>
            <w:r w:rsidR="002C2716">
              <w:rPr>
                <w:rFonts w:eastAsia="Times New Roman"/>
                <w:sz w:val="20"/>
                <w:szCs w:val="20"/>
              </w:rPr>
              <w:t>four</w:t>
            </w:r>
            <w:r>
              <w:rPr>
                <w:rFonts w:eastAsia="Times New Roman"/>
                <w:sz w:val="20"/>
                <w:szCs w:val="20"/>
              </w:rPr>
              <w:t xml:space="preserve"> agency volunteer studies </w:t>
            </w:r>
            <w:r w:rsidRPr="00380CA3">
              <w:rPr>
                <w:rFonts w:eastAsia="Times New Roman"/>
                <w:sz w:val="20"/>
                <w:szCs w:val="20"/>
              </w:rPr>
              <w:t>complete</w:t>
            </w:r>
            <w:r w:rsidR="002C2716" w:rsidRPr="00380CA3">
              <w:rPr>
                <w:rFonts w:eastAsia="Times New Roman"/>
                <w:sz w:val="20"/>
                <w:szCs w:val="20"/>
              </w:rPr>
              <w:t>.</w:t>
            </w:r>
          </w:p>
          <w:p w14:paraId="52D7B0BF" w14:textId="2CE5D287" w:rsidR="002C2716" w:rsidRPr="00380CA3" w:rsidRDefault="00404C22" w:rsidP="00A92280">
            <w:pPr>
              <w:pStyle w:val="BodyText"/>
              <w:spacing w:before="120" w:after="0"/>
              <w:rPr>
                <w:rFonts w:eastAsia="Times New Roman"/>
                <w:sz w:val="20"/>
                <w:szCs w:val="20"/>
              </w:rPr>
            </w:pPr>
            <w:r w:rsidRPr="00380CA3">
              <w:rPr>
                <w:rFonts w:eastAsia="Times New Roman"/>
                <w:sz w:val="20"/>
                <w:szCs w:val="20"/>
              </w:rPr>
              <w:t>SLA funding to support strategy development and implementation</w:t>
            </w:r>
          </w:p>
          <w:p w14:paraId="50C9E1D7" w14:textId="494D032A" w:rsidR="00324F84" w:rsidRDefault="002C2716" w:rsidP="00A92280">
            <w:pPr>
              <w:pStyle w:val="BodyText"/>
              <w:spacing w:before="120" w:after="0"/>
              <w:rPr>
                <w:rFonts w:eastAsia="Times New Roman"/>
                <w:sz w:val="20"/>
                <w:szCs w:val="20"/>
              </w:rPr>
            </w:pPr>
            <w:r w:rsidRPr="00380CA3">
              <w:rPr>
                <w:rFonts w:eastAsia="Times New Roman"/>
                <w:sz w:val="20"/>
                <w:szCs w:val="20"/>
              </w:rPr>
              <w:t>Volunteer strategy template</w:t>
            </w:r>
            <w:r>
              <w:rPr>
                <w:rFonts w:eastAsia="Times New Roman"/>
                <w:sz w:val="20"/>
                <w:szCs w:val="20"/>
              </w:rPr>
              <w:t xml:space="preserve"> developed.</w:t>
            </w:r>
          </w:p>
          <w:p w14:paraId="6BE9D875" w14:textId="77777777" w:rsidR="00324F84" w:rsidRPr="00A71DFA" w:rsidRDefault="00324F84" w:rsidP="00A92280">
            <w:pPr>
              <w:pStyle w:val="BodyText"/>
              <w:spacing w:before="120" w:after="0"/>
              <w:rPr>
                <w:rFonts w:eastAsia="Times New Roman"/>
                <w:sz w:val="20"/>
                <w:szCs w:val="20"/>
              </w:rPr>
            </w:pPr>
          </w:p>
        </w:tc>
      </w:tr>
      <w:tr w:rsidR="00324F84" w:rsidRPr="00286A2D" w14:paraId="7D7DA408" w14:textId="77777777" w:rsidTr="00A92280">
        <w:trPr>
          <w:trHeight w:val="984"/>
        </w:trPr>
        <w:tc>
          <w:tcPr>
            <w:tcW w:w="993" w:type="dxa"/>
            <w:vMerge/>
          </w:tcPr>
          <w:p w14:paraId="03AD3B13" w14:textId="77777777" w:rsidR="00324F84" w:rsidRPr="002D6CCE" w:rsidRDefault="00324F84" w:rsidP="00A92280">
            <w:pPr>
              <w:pStyle w:val="BodyText"/>
              <w:spacing w:before="120" w:after="0"/>
              <w:rPr>
                <w:rFonts w:eastAsia="Times New Roman"/>
                <w:sz w:val="20"/>
                <w:szCs w:val="20"/>
              </w:rPr>
            </w:pPr>
          </w:p>
        </w:tc>
        <w:tc>
          <w:tcPr>
            <w:tcW w:w="1701" w:type="dxa"/>
            <w:vMerge/>
          </w:tcPr>
          <w:p w14:paraId="27BFFFF3" w14:textId="77777777" w:rsidR="00324F84" w:rsidRPr="00890F7E" w:rsidRDefault="00324F84" w:rsidP="00A92280">
            <w:pPr>
              <w:pStyle w:val="BodyText"/>
              <w:spacing w:before="120" w:after="0"/>
              <w:rPr>
                <w:rFonts w:eastAsia="Times New Roman"/>
                <w:b/>
                <w:sz w:val="20"/>
                <w:szCs w:val="20"/>
              </w:rPr>
            </w:pPr>
          </w:p>
        </w:tc>
        <w:tc>
          <w:tcPr>
            <w:tcW w:w="4253" w:type="dxa"/>
          </w:tcPr>
          <w:p w14:paraId="0BCAE206" w14:textId="6A21CE90" w:rsidR="00324F84" w:rsidRPr="008655D7" w:rsidRDefault="00324F84" w:rsidP="00A92280">
            <w:pPr>
              <w:pStyle w:val="BodyTextIndentBullet"/>
              <w:spacing w:before="120"/>
              <w:ind w:left="0"/>
              <w:rPr>
                <w:szCs w:val="20"/>
              </w:rPr>
            </w:pPr>
            <w:r w:rsidRPr="008655D7">
              <w:rPr>
                <w:szCs w:val="20"/>
              </w:rPr>
              <w:t>Volunteers can be exposed to situations which affect their mental health and wellbeing.</w:t>
            </w:r>
            <w:r w:rsidR="002C2716">
              <w:rPr>
                <w:szCs w:val="20"/>
              </w:rPr>
              <w:t xml:space="preserve"> (see also Risk 202</w:t>
            </w:r>
            <w:r w:rsidR="00D539A3">
              <w:rPr>
                <w:szCs w:val="20"/>
              </w:rPr>
              <w:t>1</w:t>
            </w:r>
            <w:r w:rsidR="002C2716">
              <w:rPr>
                <w:szCs w:val="20"/>
              </w:rPr>
              <w:t>/03)</w:t>
            </w:r>
          </w:p>
        </w:tc>
        <w:tc>
          <w:tcPr>
            <w:tcW w:w="3696" w:type="dxa"/>
            <w:vMerge/>
          </w:tcPr>
          <w:p w14:paraId="014DC45E" w14:textId="77777777" w:rsidR="00324F84" w:rsidRPr="008655D7" w:rsidRDefault="00324F84" w:rsidP="00A92280">
            <w:pPr>
              <w:pStyle w:val="BodyTextIndentBullet"/>
              <w:numPr>
                <w:ilvl w:val="0"/>
                <w:numId w:val="0"/>
              </w:numPr>
              <w:spacing w:before="120"/>
              <w:rPr>
                <w:szCs w:val="20"/>
              </w:rPr>
            </w:pPr>
          </w:p>
        </w:tc>
        <w:tc>
          <w:tcPr>
            <w:tcW w:w="397" w:type="dxa"/>
            <w:vMerge/>
            <w:textDirection w:val="btLr"/>
          </w:tcPr>
          <w:p w14:paraId="1F7308DE" w14:textId="77777777" w:rsidR="00324F84" w:rsidRDefault="00324F84" w:rsidP="00A92280">
            <w:pPr>
              <w:pStyle w:val="Heading2"/>
              <w:spacing w:before="0"/>
              <w:ind w:right="113"/>
              <w:jc w:val="center"/>
              <w:outlineLvl w:val="1"/>
              <w:rPr>
                <w:b w:val="0"/>
                <w:color w:val="auto"/>
                <w:sz w:val="20"/>
              </w:rPr>
            </w:pPr>
          </w:p>
        </w:tc>
        <w:tc>
          <w:tcPr>
            <w:tcW w:w="397" w:type="dxa"/>
            <w:vMerge/>
            <w:textDirection w:val="btLr"/>
          </w:tcPr>
          <w:p w14:paraId="1B27E167" w14:textId="77777777" w:rsidR="00324F84" w:rsidRDefault="00324F84" w:rsidP="00A92280">
            <w:pPr>
              <w:pStyle w:val="Heading2"/>
              <w:spacing w:before="0" w:line="360" w:lineRule="auto"/>
              <w:ind w:right="113"/>
              <w:jc w:val="center"/>
              <w:outlineLvl w:val="1"/>
              <w:rPr>
                <w:b w:val="0"/>
                <w:color w:val="auto"/>
                <w:sz w:val="20"/>
              </w:rPr>
            </w:pPr>
          </w:p>
        </w:tc>
        <w:tc>
          <w:tcPr>
            <w:tcW w:w="699" w:type="dxa"/>
            <w:vMerge/>
            <w:shd w:val="clear" w:color="auto" w:fill="FFFF00"/>
            <w:textDirection w:val="btLr"/>
          </w:tcPr>
          <w:p w14:paraId="63FEE699" w14:textId="77777777" w:rsidR="00324F84" w:rsidRPr="00506656" w:rsidRDefault="00324F84" w:rsidP="00A92280">
            <w:pPr>
              <w:pStyle w:val="BodyText"/>
              <w:spacing w:before="120" w:after="0"/>
              <w:ind w:left="113" w:right="113"/>
              <w:jc w:val="center"/>
              <w:rPr>
                <w:sz w:val="20"/>
              </w:rPr>
            </w:pPr>
          </w:p>
        </w:tc>
        <w:tc>
          <w:tcPr>
            <w:tcW w:w="5442" w:type="dxa"/>
            <w:vMerge/>
          </w:tcPr>
          <w:p w14:paraId="44E16A4A" w14:textId="77777777" w:rsidR="00324F84" w:rsidRPr="0079525B" w:rsidRDefault="00324F84" w:rsidP="00A92280">
            <w:pPr>
              <w:pStyle w:val="BodyTextIndentBullet"/>
              <w:numPr>
                <w:ilvl w:val="0"/>
                <w:numId w:val="0"/>
              </w:numPr>
              <w:spacing w:before="120"/>
              <w:ind w:left="384"/>
              <w:rPr>
                <w:b/>
                <w:color w:val="FF0000"/>
                <w:szCs w:val="20"/>
              </w:rPr>
            </w:pPr>
          </w:p>
        </w:tc>
        <w:tc>
          <w:tcPr>
            <w:tcW w:w="709" w:type="dxa"/>
            <w:vMerge/>
            <w:shd w:val="clear" w:color="auto" w:fill="FFFF00"/>
          </w:tcPr>
          <w:p w14:paraId="16B76DDB" w14:textId="77777777" w:rsidR="00324F84" w:rsidRDefault="00324F84" w:rsidP="00A92280">
            <w:pPr>
              <w:pStyle w:val="BodyText"/>
              <w:spacing w:before="120" w:after="0"/>
              <w:jc w:val="center"/>
              <w:rPr>
                <w:rFonts w:eastAsia="Times New Roman"/>
                <w:sz w:val="20"/>
                <w:szCs w:val="20"/>
              </w:rPr>
            </w:pPr>
          </w:p>
        </w:tc>
        <w:tc>
          <w:tcPr>
            <w:tcW w:w="794" w:type="dxa"/>
            <w:vMerge/>
            <w:shd w:val="clear" w:color="auto" w:fill="00B050"/>
            <w:textDirection w:val="btLr"/>
          </w:tcPr>
          <w:p w14:paraId="15FE1D4A" w14:textId="77777777" w:rsidR="00324F84" w:rsidRDefault="00324F84" w:rsidP="00A92280">
            <w:pPr>
              <w:pStyle w:val="BodyText"/>
              <w:spacing w:after="0"/>
              <w:jc w:val="center"/>
              <w:rPr>
                <w:rFonts w:eastAsia="Times New Roman"/>
                <w:sz w:val="20"/>
                <w:szCs w:val="20"/>
              </w:rPr>
            </w:pPr>
          </w:p>
        </w:tc>
        <w:tc>
          <w:tcPr>
            <w:tcW w:w="3260" w:type="dxa"/>
            <w:vMerge/>
          </w:tcPr>
          <w:p w14:paraId="50B6523C" w14:textId="77777777" w:rsidR="00324F84" w:rsidRPr="00A71DFA" w:rsidRDefault="00324F84" w:rsidP="00A92280">
            <w:pPr>
              <w:pStyle w:val="BodyText"/>
              <w:spacing w:before="120" w:after="0"/>
              <w:rPr>
                <w:rFonts w:eastAsia="Times New Roman"/>
                <w:sz w:val="20"/>
                <w:szCs w:val="20"/>
              </w:rPr>
            </w:pPr>
          </w:p>
        </w:tc>
      </w:tr>
      <w:tr w:rsidR="00324F84" w:rsidRPr="00286A2D" w14:paraId="63D0425E" w14:textId="77777777" w:rsidTr="00D91C4D">
        <w:trPr>
          <w:trHeight w:val="350"/>
        </w:trPr>
        <w:tc>
          <w:tcPr>
            <w:tcW w:w="993" w:type="dxa"/>
            <w:vMerge/>
          </w:tcPr>
          <w:p w14:paraId="580AB7BF" w14:textId="77777777" w:rsidR="00324F84" w:rsidRPr="002D6CCE" w:rsidRDefault="00324F84" w:rsidP="00A92280">
            <w:pPr>
              <w:pStyle w:val="BodyText"/>
              <w:spacing w:before="120" w:after="0"/>
              <w:rPr>
                <w:rFonts w:eastAsia="Times New Roman"/>
                <w:sz w:val="20"/>
                <w:szCs w:val="20"/>
              </w:rPr>
            </w:pPr>
          </w:p>
        </w:tc>
        <w:tc>
          <w:tcPr>
            <w:tcW w:w="1701" w:type="dxa"/>
            <w:vMerge/>
          </w:tcPr>
          <w:p w14:paraId="2E380982" w14:textId="77777777" w:rsidR="00324F84" w:rsidRPr="00890F7E" w:rsidRDefault="00324F84" w:rsidP="00A92280">
            <w:pPr>
              <w:pStyle w:val="BodyText"/>
              <w:spacing w:before="120" w:after="0"/>
              <w:rPr>
                <w:rFonts w:eastAsia="Times New Roman"/>
                <w:b/>
                <w:sz w:val="20"/>
                <w:szCs w:val="20"/>
              </w:rPr>
            </w:pPr>
          </w:p>
        </w:tc>
        <w:tc>
          <w:tcPr>
            <w:tcW w:w="4253" w:type="dxa"/>
            <w:vMerge w:val="restart"/>
          </w:tcPr>
          <w:p w14:paraId="36D18204" w14:textId="77777777" w:rsidR="00324F84" w:rsidRPr="00506656" w:rsidRDefault="00324F84" w:rsidP="00A92280">
            <w:pPr>
              <w:pStyle w:val="BodyTextIndentBullet"/>
              <w:numPr>
                <w:ilvl w:val="0"/>
                <w:numId w:val="0"/>
              </w:numPr>
              <w:spacing w:before="120"/>
              <w:rPr>
                <w:szCs w:val="20"/>
              </w:rPr>
            </w:pPr>
            <w:r w:rsidRPr="00506656">
              <w:rPr>
                <w:szCs w:val="20"/>
              </w:rPr>
              <w:t xml:space="preserve">Growing public and legal expectations of SAR performance and competence impacts upon the training and commitment levels of SAR volunteers. </w:t>
            </w:r>
          </w:p>
        </w:tc>
        <w:tc>
          <w:tcPr>
            <w:tcW w:w="3696" w:type="dxa"/>
            <w:vMerge/>
          </w:tcPr>
          <w:p w14:paraId="1E75995D" w14:textId="77777777" w:rsidR="00324F84" w:rsidRPr="008655D7" w:rsidRDefault="00324F84" w:rsidP="00A92280">
            <w:pPr>
              <w:pStyle w:val="BodyTextIndentBullet"/>
              <w:spacing w:before="120"/>
              <w:ind w:left="384" w:hanging="384"/>
              <w:rPr>
                <w:szCs w:val="20"/>
              </w:rPr>
            </w:pPr>
          </w:p>
        </w:tc>
        <w:tc>
          <w:tcPr>
            <w:tcW w:w="397" w:type="dxa"/>
            <w:vMerge/>
            <w:textDirection w:val="btLr"/>
          </w:tcPr>
          <w:p w14:paraId="20894A52" w14:textId="77777777" w:rsidR="00324F84" w:rsidRDefault="00324F84" w:rsidP="00A92280">
            <w:pPr>
              <w:pStyle w:val="Heading2"/>
              <w:spacing w:before="0" w:line="360" w:lineRule="auto"/>
              <w:ind w:right="113"/>
              <w:jc w:val="center"/>
              <w:outlineLvl w:val="1"/>
              <w:rPr>
                <w:b w:val="0"/>
                <w:color w:val="auto"/>
                <w:sz w:val="20"/>
              </w:rPr>
            </w:pPr>
          </w:p>
        </w:tc>
        <w:tc>
          <w:tcPr>
            <w:tcW w:w="397" w:type="dxa"/>
            <w:vMerge/>
            <w:textDirection w:val="btLr"/>
          </w:tcPr>
          <w:p w14:paraId="4DF4F4D8" w14:textId="77777777" w:rsidR="00324F84" w:rsidRDefault="00324F84" w:rsidP="00A92280">
            <w:pPr>
              <w:pStyle w:val="Heading2"/>
              <w:spacing w:before="0" w:line="360" w:lineRule="auto"/>
              <w:ind w:right="113"/>
              <w:jc w:val="center"/>
              <w:outlineLvl w:val="1"/>
              <w:rPr>
                <w:b w:val="0"/>
                <w:color w:val="auto"/>
                <w:sz w:val="20"/>
              </w:rPr>
            </w:pPr>
          </w:p>
        </w:tc>
        <w:tc>
          <w:tcPr>
            <w:tcW w:w="699" w:type="dxa"/>
            <w:vMerge/>
            <w:shd w:val="clear" w:color="auto" w:fill="FFFF00"/>
            <w:textDirection w:val="btLr"/>
          </w:tcPr>
          <w:p w14:paraId="4961E021" w14:textId="77777777" w:rsidR="00324F84" w:rsidRPr="00506656" w:rsidRDefault="00324F84" w:rsidP="00A92280">
            <w:pPr>
              <w:pStyle w:val="BodyText"/>
              <w:spacing w:before="120" w:after="0"/>
              <w:ind w:left="113" w:right="113"/>
              <w:jc w:val="center"/>
              <w:rPr>
                <w:rFonts w:eastAsia="Times New Roman"/>
                <w:sz w:val="20"/>
                <w:szCs w:val="20"/>
              </w:rPr>
            </w:pPr>
          </w:p>
        </w:tc>
        <w:tc>
          <w:tcPr>
            <w:tcW w:w="5442" w:type="dxa"/>
            <w:vMerge/>
          </w:tcPr>
          <w:p w14:paraId="4AE02DC6" w14:textId="77777777" w:rsidR="00324F84" w:rsidRPr="000729D1" w:rsidRDefault="00324F84" w:rsidP="00A92280">
            <w:pPr>
              <w:pStyle w:val="BodyText"/>
              <w:spacing w:before="120" w:after="0"/>
              <w:rPr>
                <w:rFonts w:eastAsia="Times New Roman"/>
                <w:sz w:val="20"/>
                <w:szCs w:val="20"/>
              </w:rPr>
            </w:pPr>
          </w:p>
        </w:tc>
        <w:tc>
          <w:tcPr>
            <w:tcW w:w="709" w:type="dxa"/>
            <w:vMerge/>
            <w:shd w:val="clear" w:color="auto" w:fill="FFFF00"/>
          </w:tcPr>
          <w:p w14:paraId="1548F254" w14:textId="77777777" w:rsidR="00324F84" w:rsidRPr="000D1DCF" w:rsidRDefault="00324F84" w:rsidP="00A92280">
            <w:pPr>
              <w:pStyle w:val="BodyText"/>
              <w:spacing w:before="120" w:after="0"/>
              <w:rPr>
                <w:rFonts w:eastAsia="Times New Roman"/>
                <w:sz w:val="20"/>
                <w:szCs w:val="20"/>
              </w:rPr>
            </w:pPr>
          </w:p>
        </w:tc>
        <w:tc>
          <w:tcPr>
            <w:tcW w:w="794" w:type="dxa"/>
            <w:vMerge/>
            <w:shd w:val="clear" w:color="auto" w:fill="00B050"/>
            <w:textDirection w:val="btLr"/>
          </w:tcPr>
          <w:p w14:paraId="2A853B7C" w14:textId="77777777" w:rsidR="00324F84" w:rsidRPr="000D1DCF" w:rsidRDefault="00324F84" w:rsidP="00A92280">
            <w:pPr>
              <w:pStyle w:val="BodyText"/>
              <w:spacing w:after="0"/>
              <w:rPr>
                <w:rFonts w:eastAsia="Times New Roman"/>
                <w:sz w:val="20"/>
                <w:szCs w:val="20"/>
              </w:rPr>
            </w:pPr>
          </w:p>
        </w:tc>
        <w:tc>
          <w:tcPr>
            <w:tcW w:w="3260" w:type="dxa"/>
            <w:vMerge/>
          </w:tcPr>
          <w:p w14:paraId="5447DC03" w14:textId="77777777" w:rsidR="00324F84" w:rsidRPr="000D1DCF" w:rsidRDefault="00324F84" w:rsidP="00A92280">
            <w:pPr>
              <w:pStyle w:val="BodyText"/>
              <w:spacing w:before="120" w:after="0"/>
              <w:rPr>
                <w:rFonts w:eastAsia="Times New Roman"/>
                <w:sz w:val="20"/>
                <w:szCs w:val="20"/>
              </w:rPr>
            </w:pPr>
          </w:p>
        </w:tc>
      </w:tr>
      <w:tr w:rsidR="00324F84" w:rsidRPr="00286A2D" w14:paraId="61101F2C" w14:textId="77777777" w:rsidTr="00A92280">
        <w:trPr>
          <w:trHeight w:val="799"/>
        </w:trPr>
        <w:tc>
          <w:tcPr>
            <w:tcW w:w="993" w:type="dxa"/>
            <w:vMerge/>
          </w:tcPr>
          <w:p w14:paraId="478F03D6" w14:textId="77777777" w:rsidR="00324F84" w:rsidRPr="002D6CCE" w:rsidRDefault="00324F84" w:rsidP="00A92280">
            <w:pPr>
              <w:pStyle w:val="BodyText"/>
              <w:spacing w:before="120" w:after="0"/>
              <w:rPr>
                <w:rFonts w:eastAsia="Times New Roman"/>
                <w:sz w:val="20"/>
                <w:szCs w:val="20"/>
              </w:rPr>
            </w:pPr>
          </w:p>
        </w:tc>
        <w:tc>
          <w:tcPr>
            <w:tcW w:w="1701" w:type="dxa"/>
            <w:vMerge/>
          </w:tcPr>
          <w:p w14:paraId="549313F7" w14:textId="77777777" w:rsidR="00324F84" w:rsidRPr="00890F7E" w:rsidRDefault="00324F84" w:rsidP="00A92280">
            <w:pPr>
              <w:pStyle w:val="BodyText"/>
              <w:spacing w:before="120" w:after="0"/>
              <w:rPr>
                <w:rFonts w:eastAsia="Times New Roman"/>
                <w:b/>
                <w:sz w:val="20"/>
                <w:szCs w:val="20"/>
              </w:rPr>
            </w:pPr>
          </w:p>
        </w:tc>
        <w:tc>
          <w:tcPr>
            <w:tcW w:w="4253" w:type="dxa"/>
            <w:vMerge/>
          </w:tcPr>
          <w:p w14:paraId="2971C1CD" w14:textId="77777777" w:rsidR="00324F84" w:rsidRPr="00506656" w:rsidRDefault="00324F84" w:rsidP="00A92280">
            <w:pPr>
              <w:pStyle w:val="BodyTextIndentBullet"/>
              <w:numPr>
                <w:ilvl w:val="0"/>
                <w:numId w:val="0"/>
              </w:numPr>
              <w:spacing w:before="120"/>
              <w:rPr>
                <w:szCs w:val="20"/>
              </w:rPr>
            </w:pPr>
          </w:p>
        </w:tc>
        <w:tc>
          <w:tcPr>
            <w:tcW w:w="3696" w:type="dxa"/>
            <w:vMerge/>
          </w:tcPr>
          <w:p w14:paraId="0C248B80" w14:textId="77777777" w:rsidR="00324F84" w:rsidRPr="008655D7" w:rsidRDefault="00324F84" w:rsidP="00A92280">
            <w:pPr>
              <w:pStyle w:val="BodyTextIndentBullet"/>
              <w:spacing w:before="120"/>
              <w:ind w:left="384" w:hanging="384"/>
              <w:rPr>
                <w:szCs w:val="20"/>
              </w:rPr>
            </w:pPr>
          </w:p>
        </w:tc>
        <w:tc>
          <w:tcPr>
            <w:tcW w:w="397" w:type="dxa"/>
            <w:vMerge/>
            <w:textDirection w:val="btLr"/>
          </w:tcPr>
          <w:p w14:paraId="71085F8D" w14:textId="77777777" w:rsidR="00324F84" w:rsidRDefault="00324F84" w:rsidP="00A92280">
            <w:pPr>
              <w:pStyle w:val="Heading2"/>
              <w:spacing w:before="0" w:line="360" w:lineRule="auto"/>
              <w:ind w:right="113"/>
              <w:jc w:val="center"/>
              <w:outlineLvl w:val="1"/>
              <w:rPr>
                <w:b w:val="0"/>
                <w:color w:val="auto"/>
                <w:sz w:val="20"/>
              </w:rPr>
            </w:pPr>
          </w:p>
        </w:tc>
        <w:tc>
          <w:tcPr>
            <w:tcW w:w="397" w:type="dxa"/>
            <w:vMerge/>
            <w:textDirection w:val="btLr"/>
          </w:tcPr>
          <w:p w14:paraId="69468AF2" w14:textId="77777777" w:rsidR="00324F84" w:rsidRDefault="00324F84" w:rsidP="00A92280">
            <w:pPr>
              <w:pStyle w:val="Heading2"/>
              <w:spacing w:before="0" w:line="360" w:lineRule="auto"/>
              <w:ind w:right="113"/>
              <w:jc w:val="center"/>
              <w:outlineLvl w:val="1"/>
              <w:rPr>
                <w:b w:val="0"/>
                <w:color w:val="auto"/>
                <w:sz w:val="20"/>
              </w:rPr>
            </w:pPr>
          </w:p>
        </w:tc>
        <w:tc>
          <w:tcPr>
            <w:tcW w:w="699" w:type="dxa"/>
            <w:vMerge/>
            <w:shd w:val="clear" w:color="auto" w:fill="FFFF00"/>
            <w:textDirection w:val="btLr"/>
          </w:tcPr>
          <w:p w14:paraId="524D6750" w14:textId="77777777" w:rsidR="00324F84" w:rsidRPr="00506656" w:rsidRDefault="00324F84" w:rsidP="00A92280">
            <w:pPr>
              <w:pStyle w:val="BodyText"/>
              <w:spacing w:before="120" w:after="0"/>
              <w:ind w:left="113" w:right="113"/>
              <w:jc w:val="center"/>
              <w:rPr>
                <w:rFonts w:eastAsia="Times New Roman"/>
                <w:sz w:val="20"/>
                <w:szCs w:val="20"/>
              </w:rPr>
            </w:pPr>
          </w:p>
        </w:tc>
        <w:tc>
          <w:tcPr>
            <w:tcW w:w="5442" w:type="dxa"/>
            <w:vMerge/>
          </w:tcPr>
          <w:p w14:paraId="7E815C7F" w14:textId="77777777" w:rsidR="00324F84" w:rsidRPr="000729D1" w:rsidRDefault="00324F84" w:rsidP="00A92280">
            <w:pPr>
              <w:pStyle w:val="BodyText"/>
              <w:spacing w:before="120" w:after="0"/>
              <w:rPr>
                <w:rFonts w:eastAsia="Times New Roman"/>
                <w:sz w:val="20"/>
                <w:szCs w:val="20"/>
              </w:rPr>
            </w:pPr>
          </w:p>
        </w:tc>
        <w:tc>
          <w:tcPr>
            <w:tcW w:w="709" w:type="dxa"/>
            <w:shd w:val="clear" w:color="auto" w:fill="FFFF00"/>
            <w:textDirection w:val="btLr"/>
          </w:tcPr>
          <w:p w14:paraId="43C67EAE" w14:textId="77777777" w:rsidR="00324F84" w:rsidRDefault="00324F84" w:rsidP="00A92280">
            <w:pPr>
              <w:pStyle w:val="BodyText"/>
              <w:spacing w:before="120" w:after="0"/>
              <w:ind w:left="113" w:right="113"/>
              <w:jc w:val="center"/>
              <w:rPr>
                <w:rFonts w:eastAsia="Times New Roman"/>
                <w:sz w:val="20"/>
                <w:szCs w:val="20"/>
              </w:rPr>
            </w:pPr>
            <w:r>
              <w:rPr>
                <w:rFonts w:eastAsia="Times New Roman"/>
                <w:sz w:val="20"/>
                <w:szCs w:val="20"/>
              </w:rPr>
              <w:t>Partial</w:t>
            </w:r>
          </w:p>
        </w:tc>
        <w:tc>
          <w:tcPr>
            <w:tcW w:w="794" w:type="dxa"/>
            <w:shd w:val="clear" w:color="auto" w:fill="FFFF00"/>
            <w:textDirection w:val="btLr"/>
          </w:tcPr>
          <w:p w14:paraId="30F6AD82" w14:textId="77777777" w:rsidR="00324F84" w:rsidRPr="000D1DCF" w:rsidRDefault="00324F84" w:rsidP="00A92280">
            <w:pPr>
              <w:pStyle w:val="BodyText"/>
              <w:spacing w:after="0"/>
              <w:jc w:val="center"/>
              <w:rPr>
                <w:rFonts w:eastAsia="Times New Roman"/>
                <w:sz w:val="20"/>
                <w:szCs w:val="20"/>
              </w:rPr>
            </w:pPr>
            <w:r>
              <w:rPr>
                <w:rFonts w:eastAsia="Times New Roman"/>
                <w:sz w:val="20"/>
                <w:szCs w:val="20"/>
              </w:rPr>
              <w:t>2018 - 19</w:t>
            </w:r>
          </w:p>
        </w:tc>
        <w:tc>
          <w:tcPr>
            <w:tcW w:w="3260" w:type="dxa"/>
            <w:vMerge/>
          </w:tcPr>
          <w:p w14:paraId="026B14F8" w14:textId="77777777" w:rsidR="00324F84" w:rsidRPr="000D1DCF" w:rsidRDefault="00324F84" w:rsidP="00A92280">
            <w:pPr>
              <w:pStyle w:val="BodyText"/>
              <w:spacing w:before="120" w:after="0"/>
              <w:rPr>
                <w:rFonts w:eastAsia="Times New Roman"/>
                <w:sz w:val="20"/>
                <w:szCs w:val="20"/>
              </w:rPr>
            </w:pPr>
          </w:p>
        </w:tc>
      </w:tr>
      <w:tr w:rsidR="00324F84" w:rsidRPr="00286A2D" w14:paraId="2AE2F92C" w14:textId="77777777" w:rsidTr="00A92280">
        <w:trPr>
          <w:trHeight w:val="1080"/>
        </w:trPr>
        <w:tc>
          <w:tcPr>
            <w:tcW w:w="993" w:type="dxa"/>
            <w:vMerge/>
          </w:tcPr>
          <w:p w14:paraId="4288B3DA" w14:textId="77777777" w:rsidR="00324F84" w:rsidRPr="002D6CCE" w:rsidRDefault="00324F84" w:rsidP="00A92280">
            <w:pPr>
              <w:pStyle w:val="BodyText"/>
              <w:spacing w:before="120" w:after="0"/>
              <w:rPr>
                <w:rFonts w:eastAsia="Times New Roman"/>
                <w:sz w:val="20"/>
                <w:szCs w:val="20"/>
              </w:rPr>
            </w:pPr>
          </w:p>
        </w:tc>
        <w:tc>
          <w:tcPr>
            <w:tcW w:w="1701" w:type="dxa"/>
            <w:vMerge/>
          </w:tcPr>
          <w:p w14:paraId="11688D03" w14:textId="77777777" w:rsidR="00324F84" w:rsidRPr="00890F7E" w:rsidRDefault="00324F84" w:rsidP="00A92280">
            <w:pPr>
              <w:pStyle w:val="BodyText"/>
              <w:spacing w:before="120" w:after="0"/>
              <w:rPr>
                <w:rFonts w:eastAsia="Times New Roman"/>
                <w:b/>
                <w:sz w:val="20"/>
                <w:szCs w:val="20"/>
              </w:rPr>
            </w:pPr>
          </w:p>
        </w:tc>
        <w:tc>
          <w:tcPr>
            <w:tcW w:w="4253" w:type="dxa"/>
          </w:tcPr>
          <w:p w14:paraId="72F66542" w14:textId="77777777" w:rsidR="00324F84" w:rsidRPr="00506656" w:rsidRDefault="00324F84" w:rsidP="00A92280">
            <w:pPr>
              <w:pStyle w:val="BodyTextIndentBullet"/>
              <w:spacing w:before="120"/>
              <w:ind w:left="0"/>
              <w:rPr>
                <w:szCs w:val="20"/>
              </w:rPr>
            </w:pPr>
            <w:r w:rsidRPr="00506656">
              <w:rPr>
                <w:szCs w:val="20"/>
              </w:rPr>
              <w:t>Trained SAR Volunteers can be difficult to retain and motivate in areas where little SAR activity occurs.</w:t>
            </w:r>
          </w:p>
        </w:tc>
        <w:tc>
          <w:tcPr>
            <w:tcW w:w="3696" w:type="dxa"/>
            <w:vMerge/>
          </w:tcPr>
          <w:p w14:paraId="71978584" w14:textId="77777777" w:rsidR="00324F84" w:rsidRPr="008655D7" w:rsidRDefault="00324F84" w:rsidP="00A92280">
            <w:pPr>
              <w:pStyle w:val="BodyText"/>
              <w:spacing w:before="120" w:after="0"/>
              <w:jc w:val="center"/>
              <w:rPr>
                <w:szCs w:val="20"/>
              </w:rPr>
            </w:pPr>
          </w:p>
        </w:tc>
        <w:tc>
          <w:tcPr>
            <w:tcW w:w="397" w:type="dxa"/>
            <w:vMerge/>
            <w:textDirection w:val="btLr"/>
          </w:tcPr>
          <w:p w14:paraId="5CEA128F" w14:textId="77777777" w:rsidR="00324F84" w:rsidRDefault="00324F84" w:rsidP="00A92280">
            <w:pPr>
              <w:pStyle w:val="Heading2"/>
              <w:spacing w:before="0" w:line="360" w:lineRule="auto"/>
              <w:ind w:right="113"/>
              <w:jc w:val="center"/>
              <w:outlineLvl w:val="1"/>
              <w:rPr>
                <w:b w:val="0"/>
                <w:color w:val="auto"/>
                <w:sz w:val="20"/>
              </w:rPr>
            </w:pPr>
          </w:p>
        </w:tc>
        <w:tc>
          <w:tcPr>
            <w:tcW w:w="397" w:type="dxa"/>
            <w:vMerge/>
            <w:textDirection w:val="btLr"/>
          </w:tcPr>
          <w:p w14:paraId="1AD6F0A9" w14:textId="77777777" w:rsidR="00324F84" w:rsidRDefault="00324F84" w:rsidP="00A92280">
            <w:pPr>
              <w:pStyle w:val="Heading2"/>
              <w:spacing w:before="0" w:line="360" w:lineRule="auto"/>
              <w:ind w:right="113"/>
              <w:jc w:val="center"/>
              <w:outlineLvl w:val="1"/>
              <w:rPr>
                <w:b w:val="0"/>
                <w:color w:val="auto"/>
                <w:sz w:val="20"/>
              </w:rPr>
            </w:pPr>
          </w:p>
        </w:tc>
        <w:tc>
          <w:tcPr>
            <w:tcW w:w="699" w:type="dxa"/>
            <w:vMerge w:val="restart"/>
            <w:shd w:val="clear" w:color="auto" w:fill="FFFF00"/>
            <w:textDirection w:val="btLr"/>
          </w:tcPr>
          <w:p w14:paraId="42DB4EC6" w14:textId="19001CC8" w:rsidR="00324F84" w:rsidRPr="00506656" w:rsidRDefault="00324F84" w:rsidP="00A92280">
            <w:pPr>
              <w:pStyle w:val="BodyText"/>
              <w:spacing w:before="120" w:after="0"/>
              <w:ind w:left="113" w:right="113"/>
              <w:jc w:val="center"/>
              <w:rPr>
                <w:rFonts w:eastAsia="Times New Roman"/>
                <w:sz w:val="20"/>
                <w:szCs w:val="20"/>
              </w:rPr>
            </w:pPr>
            <w:r w:rsidRPr="00506656">
              <w:rPr>
                <w:sz w:val="20"/>
              </w:rPr>
              <w:t>(</w:t>
            </w:r>
            <w:r w:rsidR="00380CA3">
              <w:rPr>
                <w:sz w:val="20"/>
              </w:rPr>
              <w:t>Dec 20</w:t>
            </w:r>
            <w:r w:rsidRPr="00506656">
              <w:rPr>
                <w:sz w:val="20"/>
              </w:rPr>
              <w:t>)</w:t>
            </w:r>
          </w:p>
        </w:tc>
        <w:tc>
          <w:tcPr>
            <w:tcW w:w="5442" w:type="dxa"/>
            <w:vMerge w:val="restart"/>
          </w:tcPr>
          <w:p w14:paraId="7269D16D" w14:textId="1BDD40A9" w:rsidR="00324F84" w:rsidRPr="00506656" w:rsidRDefault="00324F84" w:rsidP="00A92280">
            <w:pPr>
              <w:pStyle w:val="BodyTextIndentBullet"/>
              <w:numPr>
                <w:ilvl w:val="0"/>
                <w:numId w:val="0"/>
              </w:numPr>
              <w:spacing w:before="120"/>
              <w:rPr>
                <w:szCs w:val="20"/>
              </w:rPr>
            </w:pPr>
            <w:r w:rsidRPr="00506656">
              <w:rPr>
                <w:b/>
                <w:szCs w:val="20"/>
              </w:rPr>
              <w:t xml:space="preserve">Risk treatment </w:t>
            </w:r>
            <w:r>
              <w:rPr>
                <w:b/>
                <w:szCs w:val="20"/>
              </w:rPr>
              <w:t>202</w:t>
            </w:r>
            <w:r w:rsidR="00380CA3">
              <w:rPr>
                <w:b/>
                <w:szCs w:val="20"/>
              </w:rPr>
              <w:t>1</w:t>
            </w:r>
            <w:r w:rsidRPr="00506656">
              <w:rPr>
                <w:b/>
                <w:szCs w:val="20"/>
              </w:rPr>
              <w:t>/0</w:t>
            </w:r>
            <w:r w:rsidR="00A7588B">
              <w:rPr>
                <w:b/>
                <w:szCs w:val="20"/>
              </w:rPr>
              <w:t>1</w:t>
            </w:r>
            <w:r w:rsidRPr="00506656">
              <w:rPr>
                <w:b/>
                <w:szCs w:val="20"/>
              </w:rPr>
              <w:t>/D: Quality SAR individual skill acquisition training and collective exercises</w:t>
            </w:r>
            <w:r w:rsidRPr="00506656">
              <w:rPr>
                <w:szCs w:val="20"/>
              </w:rPr>
              <w:t xml:space="preserve"> </w:t>
            </w:r>
          </w:p>
          <w:p w14:paraId="313876A4" w14:textId="72A5D148" w:rsidR="00324F84" w:rsidRPr="00506656" w:rsidRDefault="00324F84" w:rsidP="00324F84">
            <w:pPr>
              <w:pStyle w:val="BodyTextIndentBullet"/>
              <w:numPr>
                <w:ilvl w:val="0"/>
                <w:numId w:val="0"/>
              </w:numPr>
              <w:spacing w:before="120"/>
              <w:rPr>
                <w:szCs w:val="20"/>
              </w:rPr>
            </w:pPr>
            <w:r w:rsidRPr="00506656">
              <w:rPr>
                <w:szCs w:val="20"/>
              </w:rPr>
              <w:t xml:space="preserve">Refer Risk treatments </w:t>
            </w:r>
            <w:r>
              <w:rPr>
                <w:szCs w:val="20"/>
              </w:rPr>
              <w:t>202</w:t>
            </w:r>
            <w:r w:rsidR="00D539A3">
              <w:rPr>
                <w:szCs w:val="20"/>
              </w:rPr>
              <w:t>1</w:t>
            </w:r>
            <w:r w:rsidRPr="00506656">
              <w:rPr>
                <w:szCs w:val="20"/>
              </w:rPr>
              <w:t>/0</w:t>
            </w:r>
            <w:r w:rsidR="00A7588B">
              <w:rPr>
                <w:szCs w:val="20"/>
              </w:rPr>
              <w:t>4</w:t>
            </w:r>
            <w:r w:rsidRPr="00506656">
              <w:rPr>
                <w:szCs w:val="20"/>
              </w:rPr>
              <w:t xml:space="preserve">.  </w:t>
            </w:r>
            <w:r>
              <w:rPr>
                <w:szCs w:val="20"/>
              </w:rPr>
              <w:t>C</w:t>
            </w:r>
            <w:r w:rsidRPr="00506656">
              <w:rPr>
                <w:szCs w:val="20"/>
              </w:rPr>
              <w:t xml:space="preserve">onduct good quality, appropriately focussed and well evaluated SAR exercises </w:t>
            </w:r>
            <w:r>
              <w:rPr>
                <w:szCs w:val="20"/>
              </w:rPr>
              <w:t xml:space="preserve">at all levels of the SAR system </w:t>
            </w:r>
            <w:r w:rsidRPr="00506656">
              <w:rPr>
                <w:szCs w:val="20"/>
              </w:rPr>
              <w:t xml:space="preserve">and </w:t>
            </w:r>
            <w:r>
              <w:rPr>
                <w:szCs w:val="20"/>
              </w:rPr>
              <w:t xml:space="preserve">ensure </w:t>
            </w:r>
            <w:r w:rsidRPr="00506656">
              <w:rPr>
                <w:szCs w:val="20"/>
              </w:rPr>
              <w:t xml:space="preserve">relevant skill acquisition training is </w:t>
            </w:r>
            <w:r>
              <w:rPr>
                <w:szCs w:val="20"/>
              </w:rPr>
              <w:t xml:space="preserve">conducted.  These activities enhance </w:t>
            </w:r>
            <w:r w:rsidRPr="00506656">
              <w:rPr>
                <w:szCs w:val="20"/>
              </w:rPr>
              <w:t xml:space="preserve">readiness, reinforce </w:t>
            </w:r>
            <w:proofErr w:type="gramStart"/>
            <w:r w:rsidRPr="00506656">
              <w:rPr>
                <w:szCs w:val="20"/>
              </w:rPr>
              <w:t>training</w:t>
            </w:r>
            <w:proofErr w:type="gramEnd"/>
            <w:r w:rsidRPr="00506656">
              <w:rPr>
                <w:szCs w:val="20"/>
              </w:rPr>
              <w:t xml:space="preserve"> and build cohesiveness and morale within the SAR sector.  </w:t>
            </w:r>
          </w:p>
        </w:tc>
        <w:tc>
          <w:tcPr>
            <w:tcW w:w="709" w:type="dxa"/>
            <w:vMerge w:val="restart"/>
            <w:shd w:val="clear" w:color="auto" w:fill="FFFF00"/>
            <w:textDirection w:val="btLr"/>
          </w:tcPr>
          <w:p w14:paraId="5E2C3277" w14:textId="77777777" w:rsidR="00324F84" w:rsidRDefault="00324F84" w:rsidP="00A92280">
            <w:pPr>
              <w:pStyle w:val="BodyText"/>
              <w:spacing w:before="120" w:after="0"/>
              <w:ind w:left="113" w:right="113"/>
              <w:jc w:val="center"/>
              <w:rPr>
                <w:rFonts w:eastAsia="Times New Roman"/>
                <w:sz w:val="20"/>
                <w:szCs w:val="20"/>
              </w:rPr>
            </w:pPr>
            <w:r>
              <w:rPr>
                <w:rFonts w:eastAsia="Times New Roman"/>
                <w:sz w:val="20"/>
                <w:szCs w:val="20"/>
              </w:rPr>
              <w:t>Partial</w:t>
            </w:r>
          </w:p>
        </w:tc>
        <w:tc>
          <w:tcPr>
            <w:tcW w:w="794" w:type="dxa"/>
            <w:vMerge w:val="restart"/>
            <w:shd w:val="clear" w:color="auto" w:fill="FFFF00"/>
            <w:textDirection w:val="btLr"/>
          </w:tcPr>
          <w:p w14:paraId="6098E49B" w14:textId="77777777" w:rsidR="00324F84" w:rsidRPr="000D1DCF" w:rsidRDefault="00324F84" w:rsidP="00A92280">
            <w:pPr>
              <w:pStyle w:val="BodyText"/>
              <w:spacing w:after="0"/>
              <w:jc w:val="center"/>
              <w:rPr>
                <w:rFonts w:eastAsia="Times New Roman"/>
                <w:sz w:val="20"/>
                <w:szCs w:val="20"/>
              </w:rPr>
            </w:pPr>
            <w:r>
              <w:rPr>
                <w:rFonts w:eastAsia="Times New Roman"/>
                <w:sz w:val="20"/>
                <w:szCs w:val="20"/>
              </w:rPr>
              <w:t>Ongoing</w:t>
            </w:r>
          </w:p>
        </w:tc>
        <w:tc>
          <w:tcPr>
            <w:tcW w:w="3260" w:type="dxa"/>
            <w:vMerge w:val="restart"/>
          </w:tcPr>
          <w:p w14:paraId="6487054B" w14:textId="51F6C35D" w:rsidR="00324F84" w:rsidRPr="000D1DCF" w:rsidRDefault="002C2716" w:rsidP="00A92280">
            <w:pPr>
              <w:pStyle w:val="BodyText"/>
              <w:spacing w:before="120" w:after="0"/>
              <w:rPr>
                <w:rFonts w:eastAsia="Times New Roman"/>
                <w:sz w:val="20"/>
                <w:szCs w:val="20"/>
              </w:rPr>
            </w:pPr>
            <w:r>
              <w:rPr>
                <w:rFonts w:eastAsia="Times New Roman"/>
                <w:sz w:val="20"/>
                <w:szCs w:val="20"/>
              </w:rPr>
              <w:t xml:space="preserve">Accessible, good quality individual and collective training will assist to keep volunteers engaged and retained. </w:t>
            </w:r>
          </w:p>
        </w:tc>
      </w:tr>
      <w:tr w:rsidR="00324F84" w:rsidRPr="00286A2D" w14:paraId="2D6728AD" w14:textId="77777777" w:rsidTr="00A92280">
        <w:trPr>
          <w:trHeight w:val="840"/>
        </w:trPr>
        <w:tc>
          <w:tcPr>
            <w:tcW w:w="993" w:type="dxa"/>
            <w:vMerge/>
          </w:tcPr>
          <w:p w14:paraId="607DC82D" w14:textId="77777777" w:rsidR="00324F84" w:rsidRPr="002D6CCE" w:rsidRDefault="00324F84" w:rsidP="00A92280">
            <w:pPr>
              <w:pStyle w:val="BodyText"/>
              <w:spacing w:before="120" w:after="0"/>
              <w:rPr>
                <w:rFonts w:eastAsia="Times New Roman"/>
                <w:sz w:val="20"/>
                <w:szCs w:val="20"/>
              </w:rPr>
            </w:pPr>
          </w:p>
        </w:tc>
        <w:tc>
          <w:tcPr>
            <w:tcW w:w="1701" w:type="dxa"/>
            <w:vMerge/>
          </w:tcPr>
          <w:p w14:paraId="54755338" w14:textId="77777777" w:rsidR="00324F84" w:rsidRPr="00890F7E" w:rsidRDefault="00324F84" w:rsidP="00A92280">
            <w:pPr>
              <w:pStyle w:val="BodyText"/>
              <w:spacing w:before="120" w:after="0"/>
              <w:rPr>
                <w:rFonts w:eastAsia="Times New Roman"/>
                <w:b/>
                <w:sz w:val="20"/>
                <w:szCs w:val="20"/>
              </w:rPr>
            </w:pPr>
          </w:p>
        </w:tc>
        <w:tc>
          <w:tcPr>
            <w:tcW w:w="4253" w:type="dxa"/>
            <w:vMerge w:val="restart"/>
          </w:tcPr>
          <w:p w14:paraId="34066243" w14:textId="0F07D827" w:rsidR="00324F84" w:rsidRPr="00506656" w:rsidRDefault="00324F84" w:rsidP="00A92280">
            <w:pPr>
              <w:pStyle w:val="BodyText"/>
              <w:spacing w:before="120" w:after="0"/>
              <w:rPr>
                <w:rFonts w:eastAsia="Times New Roman"/>
                <w:sz w:val="20"/>
                <w:szCs w:val="20"/>
              </w:rPr>
            </w:pPr>
            <w:r w:rsidRPr="00506656">
              <w:rPr>
                <w:rFonts w:eastAsia="Times New Roman"/>
                <w:sz w:val="20"/>
                <w:szCs w:val="20"/>
              </w:rPr>
              <w:t xml:space="preserve">Funding support for volunteers – (particularly </w:t>
            </w:r>
            <w:proofErr w:type="gramStart"/>
            <w:r w:rsidRPr="00506656">
              <w:rPr>
                <w:rFonts w:eastAsia="Times New Roman"/>
                <w:sz w:val="20"/>
                <w:szCs w:val="20"/>
              </w:rPr>
              <w:t>back office</w:t>
            </w:r>
            <w:proofErr w:type="gramEnd"/>
            <w:r w:rsidRPr="00506656">
              <w:rPr>
                <w:rFonts w:eastAsia="Times New Roman"/>
                <w:sz w:val="20"/>
                <w:szCs w:val="20"/>
              </w:rPr>
              <w:t xml:space="preserve"> functions &amp; capabilities) affected by sufficiency and/or volatility (see Risk </w:t>
            </w:r>
            <w:r>
              <w:rPr>
                <w:rFonts w:eastAsia="Times New Roman"/>
                <w:sz w:val="20"/>
                <w:szCs w:val="20"/>
              </w:rPr>
              <w:t>202</w:t>
            </w:r>
            <w:r w:rsidR="00D539A3">
              <w:rPr>
                <w:rFonts w:eastAsia="Times New Roman"/>
                <w:sz w:val="20"/>
                <w:szCs w:val="20"/>
              </w:rPr>
              <w:t>1</w:t>
            </w:r>
            <w:r w:rsidRPr="00506656">
              <w:rPr>
                <w:rFonts w:eastAsia="Times New Roman"/>
                <w:sz w:val="20"/>
                <w:szCs w:val="20"/>
              </w:rPr>
              <w:t>/02)</w:t>
            </w:r>
          </w:p>
          <w:p w14:paraId="73F472C9" w14:textId="77777777" w:rsidR="00324F84" w:rsidRPr="00506656" w:rsidRDefault="00324F84" w:rsidP="00A92280">
            <w:pPr>
              <w:pStyle w:val="BodyText"/>
              <w:spacing w:before="120" w:after="0"/>
              <w:rPr>
                <w:szCs w:val="20"/>
              </w:rPr>
            </w:pPr>
          </w:p>
          <w:p w14:paraId="03E4900B" w14:textId="77777777" w:rsidR="00324F84" w:rsidRPr="00506656" w:rsidRDefault="00324F84" w:rsidP="00A92280">
            <w:pPr>
              <w:pStyle w:val="BodyText"/>
              <w:spacing w:before="120" w:after="0"/>
              <w:rPr>
                <w:szCs w:val="20"/>
              </w:rPr>
            </w:pPr>
          </w:p>
        </w:tc>
        <w:tc>
          <w:tcPr>
            <w:tcW w:w="3696" w:type="dxa"/>
            <w:vMerge/>
          </w:tcPr>
          <w:p w14:paraId="7276B5C2" w14:textId="77777777" w:rsidR="00324F84" w:rsidRPr="008655D7" w:rsidRDefault="00324F84" w:rsidP="00A92280">
            <w:pPr>
              <w:pStyle w:val="BodyText"/>
              <w:spacing w:before="120" w:after="0"/>
              <w:jc w:val="center"/>
              <w:rPr>
                <w:szCs w:val="20"/>
              </w:rPr>
            </w:pPr>
          </w:p>
        </w:tc>
        <w:tc>
          <w:tcPr>
            <w:tcW w:w="397" w:type="dxa"/>
            <w:vMerge/>
            <w:textDirection w:val="btLr"/>
          </w:tcPr>
          <w:p w14:paraId="4F27C36B" w14:textId="77777777" w:rsidR="00324F84" w:rsidRDefault="00324F84" w:rsidP="00A92280">
            <w:pPr>
              <w:pStyle w:val="Heading2"/>
              <w:spacing w:before="0" w:line="360" w:lineRule="auto"/>
              <w:ind w:right="113"/>
              <w:jc w:val="center"/>
              <w:outlineLvl w:val="1"/>
              <w:rPr>
                <w:b w:val="0"/>
                <w:color w:val="auto"/>
                <w:sz w:val="20"/>
              </w:rPr>
            </w:pPr>
          </w:p>
        </w:tc>
        <w:tc>
          <w:tcPr>
            <w:tcW w:w="397" w:type="dxa"/>
            <w:vMerge/>
            <w:textDirection w:val="btLr"/>
          </w:tcPr>
          <w:p w14:paraId="4380C819" w14:textId="77777777" w:rsidR="00324F84" w:rsidRDefault="00324F84" w:rsidP="00A92280">
            <w:pPr>
              <w:pStyle w:val="Heading2"/>
              <w:spacing w:before="0" w:line="360" w:lineRule="auto"/>
              <w:ind w:right="113"/>
              <w:jc w:val="center"/>
              <w:outlineLvl w:val="1"/>
              <w:rPr>
                <w:b w:val="0"/>
                <w:color w:val="auto"/>
                <w:sz w:val="20"/>
              </w:rPr>
            </w:pPr>
          </w:p>
        </w:tc>
        <w:tc>
          <w:tcPr>
            <w:tcW w:w="699" w:type="dxa"/>
            <w:vMerge/>
            <w:shd w:val="clear" w:color="auto" w:fill="FFFF00"/>
            <w:textDirection w:val="btLr"/>
          </w:tcPr>
          <w:p w14:paraId="3E8933F5" w14:textId="77777777" w:rsidR="00324F84" w:rsidRPr="00FD28C8" w:rsidRDefault="00324F84" w:rsidP="00A92280">
            <w:pPr>
              <w:pStyle w:val="BodyText"/>
              <w:spacing w:before="120" w:after="0"/>
              <w:ind w:left="113" w:right="113"/>
              <w:jc w:val="center"/>
              <w:rPr>
                <w:sz w:val="20"/>
              </w:rPr>
            </w:pPr>
          </w:p>
        </w:tc>
        <w:tc>
          <w:tcPr>
            <w:tcW w:w="5442" w:type="dxa"/>
            <w:vMerge/>
          </w:tcPr>
          <w:p w14:paraId="309B25C8" w14:textId="77777777" w:rsidR="00324F84" w:rsidRPr="00506656" w:rsidRDefault="00324F84" w:rsidP="00A92280">
            <w:pPr>
              <w:pStyle w:val="BodyTextIndentBullet"/>
              <w:numPr>
                <w:ilvl w:val="0"/>
                <w:numId w:val="0"/>
              </w:numPr>
              <w:spacing w:before="120"/>
              <w:rPr>
                <w:b/>
                <w:szCs w:val="20"/>
              </w:rPr>
            </w:pPr>
          </w:p>
        </w:tc>
        <w:tc>
          <w:tcPr>
            <w:tcW w:w="709" w:type="dxa"/>
            <w:vMerge/>
            <w:shd w:val="clear" w:color="auto" w:fill="FFFF00"/>
          </w:tcPr>
          <w:p w14:paraId="4B053316" w14:textId="77777777" w:rsidR="00324F84" w:rsidRDefault="00324F84" w:rsidP="00A92280">
            <w:pPr>
              <w:pStyle w:val="BodyText"/>
              <w:spacing w:before="120" w:after="0"/>
              <w:jc w:val="center"/>
              <w:rPr>
                <w:rFonts w:eastAsia="Times New Roman"/>
                <w:sz w:val="20"/>
                <w:szCs w:val="20"/>
              </w:rPr>
            </w:pPr>
          </w:p>
        </w:tc>
        <w:tc>
          <w:tcPr>
            <w:tcW w:w="794" w:type="dxa"/>
            <w:vMerge/>
            <w:shd w:val="clear" w:color="auto" w:fill="FFFF00"/>
            <w:textDirection w:val="btLr"/>
          </w:tcPr>
          <w:p w14:paraId="2185AD22" w14:textId="77777777" w:rsidR="00324F84" w:rsidRDefault="00324F84" w:rsidP="00A92280">
            <w:pPr>
              <w:pStyle w:val="BodyText"/>
              <w:spacing w:after="0"/>
              <w:jc w:val="center"/>
              <w:rPr>
                <w:rFonts w:eastAsia="Times New Roman"/>
                <w:sz w:val="20"/>
                <w:szCs w:val="20"/>
              </w:rPr>
            </w:pPr>
          </w:p>
        </w:tc>
        <w:tc>
          <w:tcPr>
            <w:tcW w:w="3260" w:type="dxa"/>
            <w:vMerge/>
          </w:tcPr>
          <w:p w14:paraId="204FB889" w14:textId="77777777" w:rsidR="00324F84" w:rsidRPr="000D1DCF" w:rsidRDefault="00324F84" w:rsidP="00A92280">
            <w:pPr>
              <w:pStyle w:val="BodyText"/>
              <w:spacing w:before="120" w:after="0"/>
              <w:rPr>
                <w:rFonts w:eastAsia="Times New Roman"/>
                <w:sz w:val="20"/>
                <w:szCs w:val="20"/>
              </w:rPr>
            </w:pPr>
          </w:p>
        </w:tc>
      </w:tr>
      <w:tr w:rsidR="00F61C8E" w:rsidRPr="00286A2D" w14:paraId="6C54A14A" w14:textId="77777777" w:rsidTr="00F61C8E">
        <w:trPr>
          <w:trHeight w:val="855"/>
        </w:trPr>
        <w:tc>
          <w:tcPr>
            <w:tcW w:w="993" w:type="dxa"/>
            <w:vMerge/>
            <w:tcBorders>
              <w:bottom w:val="single" w:sz="4" w:space="0" w:color="auto"/>
            </w:tcBorders>
          </w:tcPr>
          <w:p w14:paraId="69904492" w14:textId="77777777" w:rsidR="00F61C8E" w:rsidRPr="002D6CCE" w:rsidRDefault="00F61C8E" w:rsidP="00A92280">
            <w:pPr>
              <w:pStyle w:val="BodyText"/>
              <w:spacing w:before="120" w:after="0"/>
              <w:rPr>
                <w:rFonts w:eastAsia="Times New Roman"/>
                <w:sz w:val="20"/>
                <w:szCs w:val="20"/>
              </w:rPr>
            </w:pPr>
          </w:p>
        </w:tc>
        <w:tc>
          <w:tcPr>
            <w:tcW w:w="1701" w:type="dxa"/>
            <w:vMerge/>
            <w:tcBorders>
              <w:bottom w:val="single" w:sz="4" w:space="0" w:color="auto"/>
            </w:tcBorders>
          </w:tcPr>
          <w:p w14:paraId="5EA37911" w14:textId="77777777" w:rsidR="00F61C8E" w:rsidRPr="00890F7E" w:rsidRDefault="00F61C8E" w:rsidP="00A92280">
            <w:pPr>
              <w:pStyle w:val="BodyText"/>
              <w:spacing w:before="120" w:after="0"/>
              <w:rPr>
                <w:rFonts w:eastAsia="Times New Roman"/>
                <w:b/>
                <w:sz w:val="20"/>
                <w:szCs w:val="20"/>
              </w:rPr>
            </w:pPr>
          </w:p>
        </w:tc>
        <w:tc>
          <w:tcPr>
            <w:tcW w:w="4253" w:type="dxa"/>
            <w:vMerge/>
            <w:tcBorders>
              <w:bottom w:val="single" w:sz="4" w:space="0" w:color="auto"/>
            </w:tcBorders>
          </w:tcPr>
          <w:p w14:paraId="40686DD2" w14:textId="77777777" w:rsidR="00F61C8E" w:rsidRPr="00E0317D" w:rsidRDefault="00F61C8E" w:rsidP="00A92280">
            <w:pPr>
              <w:pStyle w:val="BodyText"/>
              <w:spacing w:before="120" w:after="0"/>
              <w:rPr>
                <w:rFonts w:eastAsia="Times New Roman"/>
                <w:color w:val="000000" w:themeColor="text1"/>
                <w:sz w:val="20"/>
                <w:szCs w:val="20"/>
              </w:rPr>
            </w:pPr>
          </w:p>
        </w:tc>
        <w:tc>
          <w:tcPr>
            <w:tcW w:w="3696" w:type="dxa"/>
            <w:vMerge/>
            <w:tcBorders>
              <w:bottom w:val="single" w:sz="4" w:space="0" w:color="auto"/>
            </w:tcBorders>
          </w:tcPr>
          <w:p w14:paraId="0149F9AB" w14:textId="77777777" w:rsidR="00F61C8E" w:rsidRPr="008655D7" w:rsidRDefault="00F61C8E" w:rsidP="00A92280">
            <w:pPr>
              <w:pStyle w:val="BodyText"/>
              <w:spacing w:before="120" w:after="0"/>
              <w:jc w:val="center"/>
              <w:rPr>
                <w:szCs w:val="20"/>
              </w:rPr>
            </w:pPr>
          </w:p>
        </w:tc>
        <w:tc>
          <w:tcPr>
            <w:tcW w:w="397" w:type="dxa"/>
            <w:vMerge/>
            <w:tcBorders>
              <w:bottom w:val="single" w:sz="4" w:space="0" w:color="auto"/>
            </w:tcBorders>
            <w:textDirection w:val="btLr"/>
          </w:tcPr>
          <w:p w14:paraId="0DFBC993" w14:textId="77777777" w:rsidR="00F61C8E" w:rsidRDefault="00F61C8E" w:rsidP="00A92280">
            <w:pPr>
              <w:pStyle w:val="Heading2"/>
              <w:spacing w:before="0" w:line="360" w:lineRule="auto"/>
              <w:ind w:right="113"/>
              <w:jc w:val="center"/>
              <w:outlineLvl w:val="1"/>
              <w:rPr>
                <w:b w:val="0"/>
                <w:color w:val="auto"/>
                <w:sz w:val="20"/>
              </w:rPr>
            </w:pPr>
          </w:p>
        </w:tc>
        <w:tc>
          <w:tcPr>
            <w:tcW w:w="397" w:type="dxa"/>
            <w:vMerge/>
            <w:tcBorders>
              <w:bottom w:val="single" w:sz="4" w:space="0" w:color="auto"/>
            </w:tcBorders>
            <w:textDirection w:val="btLr"/>
          </w:tcPr>
          <w:p w14:paraId="0F70C594" w14:textId="77777777" w:rsidR="00F61C8E" w:rsidRDefault="00F61C8E" w:rsidP="00A92280">
            <w:pPr>
              <w:pStyle w:val="Heading2"/>
              <w:spacing w:before="0" w:line="360" w:lineRule="auto"/>
              <w:ind w:right="113"/>
              <w:jc w:val="center"/>
              <w:outlineLvl w:val="1"/>
              <w:rPr>
                <w:b w:val="0"/>
                <w:color w:val="auto"/>
                <w:sz w:val="20"/>
              </w:rPr>
            </w:pPr>
          </w:p>
        </w:tc>
        <w:tc>
          <w:tcPr>
            <w:tcW w:w="699" w:type="dxa"/>
            <w:vMerge/>
            <w:tcBorders>
              <w:bottom w:val="single" w:sz="4" w:space="0" w:color="auto"/>
            </w:tcBorders>
            <w:shd w:val="clear" w:color="auto" w:fill="FFFF00"/>
            <w:textDirection w:val="btLr"/>
          </w:tcPr>
          <w:p w14:paraId="74586E14" w14:textId="77777777" w:rsidR="00F61C8E" w:rsidRPr="00FD28C8" w:rsidRDefault="00F61C8E" w:rsidP="00A92280">
            <w:pPr>
              <w:pStyle w:val="BodyText"/>
              <w:spacing w:before="120" w:after="0"/>
              <w:ind w:left="113" w:right="113"/>
              <w:jc w:val="center"/>
              <w:rPr>
                <w:sz w:val="20"/>
              </w:rPr>
            </w:pPr>
          </w:p>
        </w:tc>
        <w:tc>
          <w:tcPr>
            <w:tcW w:w="5442" w:type="dxa"/>
            <w:tcBorders>
              <w:bottom w:val="single" w:sz="4" w:space="0" w:color="auto"/>
            </w:tcBorders>
          </w:tcPr>
          <w:p w14:paraId="7F83FD5F" w14:textId="18690D33" w:rsidR="00F61C8E" w:rsidRPr="00506656" w:rsidRDefault="00F61C8E" w:rsidP="00A92280">
            <w:pPr>
              <w:pStyle w:val="BodyTextIndentBullet"/>
              <w:spacing w:before="120"/>
              <w:ind w:left="0"/>
              <w:rPr>
                <w:b/>
                <w:szCs w:val="20"/>
              </w:rPr>
            </w:pPr>
            <w:r w:rsidRPr="00506656">
              <w:rPr>
                <w:b/>
                <w:szCs w:val="20"/>
              </w:rPr>
              <w:t xml:space="preserve">Risk Treatment </w:t>
            </w:r>
            <w:r>
              <w:rPr>
                <w:b/>
                <w:szCs w:val="20"/>
              </w:rPr>
              <w:t>202</w:t>
            </w:r>
            <w:r w:rsidR="00380CA3">
              <w:rPr>
                <w:b/>
                <w:szCs w:val="20"/>
              </w:rPr>
              <w:t>1</w:t>
            </w:r>
            <w:r w:rsidRPr="00506656">
              <w:rPr>
                <w:b/>
                <w:szCs w:val="20"/>
              </w:rPr>
              <w:t>/0</w:t>
            </w:r>
            <w:r>
              <w:rPr>
                <w:b/>
                <w:szCs w:val="20"/>
              </w:rPr>
              <w:t>1</w:t>
            </w:r>
            <w:r w:rsidRPr="00506656">
              <w:rPr>
                <w:b/>
                <w:szCs w:val="20"/>
              </w:rPr>
              <w:t>/E:</w:t>
            </w:r>
            <w:r w:rsidRPr="00506656">
              <w:rPr>
                <w:szCs w:val="20"/>
              </w:rPr>
              <w:t xml:space="preserve">  </w:t>
            </w:r>
            <w:r w:rsidR="00404C22" w:rsidRPr="00380CA3">
              <w:rPr>
                <w:szCs w:val="20"/>
              </w:rPr>
              <w:t xml:space="preserve">Complete actions to address </w:t>
            </w:r>
            <w:r w:rsidR="00380CA3" w:rsidRPr="00380CA3">
              <w:rPr>
                <w:szCs w:val="20"/>
              </w:rPr>
              <w:t xml:space="preserve">the </w:t>
            </w:r>
            <w:r w:rsidRPr="00380CA3">
              <w:rPr>
                <w:szCs w:val="20"/>
              </w:rPr>
              <w:t>recommendations from th</w:t>
            </w:r>
            <w:r w:rsidRPr="00506656">
              <w:rPr>
                <w:szCs w:val="20"/>
              </w:rPr>
              <w:t xml:space="preserve">e </w:t>
            </w:r>
            <w:r>
              <w:rPr>
                <w:szCs w:val="20"/>
              </w:rPr>
              <w:t>2020</w:t>
            </w:r>
            <w:r w:rsidRPr="00506656">
              <w:rPr>
                <w:szCs w:val="20"/>
              </w:rPr>
              <w:t xml:space="preserve"> NZSAR Volunteer Study</w:t>
            </w:r>
            <w:r w:rsidR="00380CA3">
              <w:rPr>
                <w:szCs w:val="20"/>
              </w:rPr>
              <w:t>.</w:t>
            </w:r>
          </w:p>
        </w:tc>
        <w:tc>
          <w:tcPr>
            <w:tcW w:w="709" w:type="dxa"/>
            <w:tcBorders>
              <w:bottom w:val="single" w:sz="4" w:space="0" w:color="auto"/>
            </w:tcBorders>
            <w:shd w:val="clear" w:color="auto" w:fill="00B050"/>
            <w:textDirection w:val="btLr"/>
          </w:tcPr>
          <w:p w14:paraId="059C10BD" w14:textId="77777777" w:rsidR="00F61C8E" w:rsidRDefault="00F61C8E" w:rsidP="00A92280">
            <w:pPr>
              <w:pStyle w:val="BodyText"/>
              <w:spacing w:before="120" w:after="0"/>
              <w:ind w:left="113" w:right="113"/>
              <w:jc w:val="center"/>
              <w:rPr>
                <w:rFonts w:eastAsia="Times New Roman"/>
                <w:sz w:val="20"/>
                <w:szCs w:val="20"/>
              </w:rPr>
            </w:pPr>
            <w:r>
              <w:rPr>
                <w:rFonts w:eastAsia="Times New Roman"/>
                <w:sz w:val="20"/>
                <w:szCs w:val="20"/>
              </w:rPr>
              <w:t>Full</w:t>
            </w:r>
          </w:p>
        </w:tc>
        <w:tc>
          <w:tcPr>
            <w:tcW w:w="794" w:type="dxa"/>
            <w:tcBorders>
              <w:bottom w:val="single" w:sz="4" w:space="0" w:color="auto"/>
            </w:tcBorders>
            <w:shd w:val="clear" w:color="auto" w:fill="00B050"/>
            <w:textDirection w:val="btLr"/>
          </w:tcPr>
          <w:p w14:paraId="4F3AD370" w14:textId="33F7EF52" w:rsidR="00F61C8E" w:rsidRDefault="00F61C8E" w:rsidP="00A92280">
            <w:pPr>
              <w:pStyle w:val="BodyText"/>
              <w:spacing w:after="0"/>
              <w:jc w:val="center"/>
              <w:rPr>
                <w:rFonts w:eastAsia="Times New Roman"/>
                <w:sz w:val="20"/>
                <w:szCs w:val="20"/>
              </w:rPr>
            </w:pPr>
            <w:r>
              <w:rPr>
                <w:rFonts w:eastAsia="Times New Roman"/>
                <w:sz w:val="20"/>
                <w:szCs w:val="20"/>
              </w:rPr>
              <w:t>2020 - 21</w:t>
            </w:r>
          </w:p>
        </w:tc>
        <w:tc>
          <w:tcPr>
            <w:tcW w:w="3260" w:type="dxa"/>
            <w:tcBorders>
              <w:bottom w:val="single" w:sz="2" w:space="0" w:color="auto"/>
            </w:tcBorders>
          </w:tcPr>
          <w:p w14:paraId="1ECE530B" w14:textId="5819E966" w:rsidR="00F61C8E" w:rsidRPr="000D1DCF" w:rsidRDefault="002C2716" w:rsidP="00A92280">
            <w:pPr>
              <w:pStyle w:val="BodyText"/>
              <w:spacing w:before="120" w:after="0"/>
              <w:rPr>
                <w:rFonts w:eastAsia="Times New Roman"/>
                <w:sz w:val="20"/>
                <w:szCs w:val="20"/>
              </w:rPr>
            </w:pPr>
            <w:r>
              <w:rPr>
                <w:rFonts w:eastAsia="Times New Roman"/>
                <w:sz w:val="20"/>
                <w:szCs w:val="20"/>
              </w:rPr>
              <w:t xml:space="preserve">SAR Volunteer guiding principles developed, </w:t>
            </w:r>
            <w:proofErr w:type="gramStart"/>
            <w:r>
              <w:rPr>
                <w:rFonts w:eastAsia="Times New Roman"/>
                <w:sz w:val="20"/>
                <w:szCs w:val="20"/>
              </w:rPr>
              <w:t>agreed</w:t>
            </w:r>
            <w:proofErr w:type="gramEnd"/>
            <w:r>
              <w:rPr>
                <w:rFonts w:eastAsia="Times New Roman"/>
                <w:sz w:val="20"/>
                <w:szCs w:val="20"/>
              </w:rPr>
              <w:t xml:space="preserve"> and published. </w:t>
            </w:r>
            <w:r w:rsidR="00380CA3">
              <w:rPr>
                <w:rFonts w:eastAsia="Times New Roman"/>
                <w:sz w:val="20"/>
                <w:szCs w:val="20"/>
              </w:rPr>
              <w:t xml:space="preserve">Channel </w:t>
            </w:r>
            <w:r w:rsidR="00380CA3" w:rsidRPr="00380CA3">
              <w:rPr>
                <w:rFonts w:eastAsia="Times New Roman"/>
                <w:sz w:val="20"/>
                <w:szCs w:val="20"/>
              </w:rPr>
              <w:t xml:space="preserve">SLA funding </w:t>
            </w:r>
            <w:r w:rsidR="00404C22" w:rsidRPr="00380CA3">
              <w:rPr>
                <w:rFonts w:eastAsia="Times New Roman"/>
                <w:sz w:val="20"/>
                <w:szCs w:val="20"/>
              </w:rPr>
              <w:t>to support Agencies to address their Volunteer Study recs</w:t>
            </w:r>
            <w:r w:rsidR="00380CA3">
              <w:rPr>
                <w:rFonts w:eastAsia="Times New Roman"/>
                <w:sz w:val="20"/>
                <w:szCs w:val="20"/>
              </w:rPr>
              <w:t>.</w:t>
            </w:r>
          </w:p>
        </w:tc>
      </w:tr>
      <w:tr w:rsidR="00F61C8E" w:rsidRPr="00286A2D" w14:paraId="57356AB7" w14:textId="77777777" w:rsidTr="00F61C8E">
        <w:trPr>
          <w:trHeight w:val="1134"/>
        </w:trPr>
        <w:tc>
          <w:tcPr>
            <w:tcW w:w="993" w:type="dxa"/>
            <w:vMerge/>
          </w:tcPr>
          <w:p w14:paraId="4C2D6B82" w14:textId="77777777" w:rsidR="00F61C8E" w:rsidRPr="002D6CCE" w:rsidRDefault="00F61C8E" w:rsidP="00A92280">
            <w:pPr>
              <w:pStyle w:val="BodyText"/>
              <w:spacing w:before="120" w:after="0"/>
              <w:rPr>
                <w:rFonts w:eastAsia="Times New Roman"/>
                <w:sz w:val="20"/>
                <w:szCs w:val="20"/>
              </w:rPr>
            </w:pPr>
          </w:p>
        </w:tc>
        <w:tc>
          <w:tcPr>
            <w:tcW w:w="1701" w:type="dxa"/>
            <w:vMerge/>
          </w:tcPr>
          <w:p w14:paraId="058228FB" w14:textId="77777777" w:rsidR="00F61C8E" w:rsidRPr="00890F7E" w:rsidRDefault="00F61C8E" w:rsidP="00A92280">
            <w:pPr>
              <w:pStyle w:val="BodyText"/>
              <w:spacing w:before="120" w:after="0"/>
              <w:rPr>
                <w:rFonts w:eastAsia="Times New Roman"/>
                <w:b/>
                <w:sz w:val="20"/>
                <w:szCs w:val="20"/>
              </w:rPr>
            </w:pPr>
          </w:p>
        </w:tc>
        <w:tc>
          <w:tcPr>
            <w:tcW w:w="4253" w:type="dxa"/>
            <w:vMerge/>
          </w:tcPr>
          <w:p w14:paraId="6D6AD4FC" w14:textId="77777777" w:rsidR="00F61C8E" w:rsidRPr="00E0317D" w:rsidRDefault="00F61C8E" w:rsidP="00A92280">
            <w:pPr>
              <w:pStyle w:val="BodyText"/>
              <w:spacing w:before="120" w:after="0"/>
              <w:rPr>
                <w:rFonts w:eastAsia="Times New Roman"/>
                <w:color w:val="000000" w:themeColor="text1"/>
                <w:sz w:val="20"/>
                <w:szCs w:val="20"/>
              </w:rPr>
            </w:pPr>
          </w:p>
        </w:tc>
        <w:tc>
          <w:tcPr>
            <w:tcW w:w="3696" w:type="dxa"/>
            <w:vMerge/>
          </w:tcPr>
          <w:p w14:paraId="3679C367" w14:textId="77777777" w:rsidR="00F61C8E" w:rsidRPr="008655D7" w:rsidRDefault="00F61C8E" w:rsidP="00A92280">
            <w:pPr>
              <w:pStyle w:val="BodyText"/>
              <w:spacing w:before="120" w:after="0"/>
              <w:jc w:val="center"/>
              <w:rPr>
                <w:szCs w:val="20"/>
              </w:rPr>
            </w:pPr>
          </w:p>
        </w:tc>
        <w:tc>
          <w:tcPr>
            <w:tcW w:w="397" w:type="dxa"/>
            <w:vMerge/>
            <w:textDirection w:val="btLr"/>
          </w:tcPr>
          <w:p w14:paraId="784A29FF" w14:textId="77777777" w:rsidR="00F61C8E" w:rsidRDefault="00F61C8E" w:rsidP="00A92280">
            <w:pPr>
              <w:pStyle w:val="Heading2"/>
              <w:spacing w:before="0" w:line="360" w:lineRule="auto"/>
              <w:ind w:right="113"/>
              <w:jc w:val="center"/>
              <w:outlineLvl w:val="1"/>
              <w:rPr>
                <w:b w:val="0"/>
                <w:color w:val="auto"/>
                <w:sz w:val="20"/>
              </w:rPr>
            </w:pPr>
          </w:p>
        </w:tc>
        <w:tc>
          <w:tcPr>
            <w:tcW w:w="397" w:type="dxa"/>
            <w:vMerge/>
            <w:textDirection w:val="btLr"/>
          </w:tcPr>
          <w:p w14:paraId="503A04D6" w14:textId="77777777" w:rsidR="00F61C8E" w:rsidRDefault="00F61C8E" w:rsidP="00A92280">
            <w:pPr>
              <w:pStyle w:val="Heading2"/>
              <w:spacing w:before="0" w:line="360" w:lineRule="auto"/>
              <w:ind w:right="113"/>
              <w:jc w:val="center"/>
              <w:outlineLvl w:val="1"/>
              <w:rPr>
                <w:b w:val="0"/>
                <w:color w:val="auto"/>
                <w:sz w:val="20"/>
              </w:rPr>
            </w:pPr>
          </w:p>
        </w:tc>
        <w:tc>
          <w:tcPr>
            <w:tcW w:w="699" w:type="dxa"/>
            <w:vMerge/>
            <w:shd w:val="clear" w:color="auto" w:fill="FFFF00"/>
            <w:textDirection w:val="btLr"/>
          </w:tcPr>
          <w:p w14:paraId="5CD8607B" w14:textId="77777777" w:rsidR="00F61C8E" w:rsidRPr="00FD28C8" w:rsidRDefault="00F61C8E" w:rsidP="00A92280">
            <w:pPr>
              <w:pStyle w:val="BodyText"/>
              <w:spacing w:before="120" w:after="0"/>
              <w:ind w:left="113" w:right="113"/>
              <w:jc w:val="center"/>
              <w:rPr>
                <w:sz w:val="20"/>
              </w:rPr>
            </w:pPr>
          </w:p>
        </w:tc>
        <w:tc>
          <w:tcPr>
            <w:tcW w:w="5442" w:type="dxa"/>
          </w:tcPr>
          <w:p w14:paraId="73FA273F" w14:textId="56E33111" w:rsidR="00F61C8E" w:rsidRPr="00506656" w:rsidRDefault="00F61C8E" w:rsidP="00A92280">
            <w:pPr>
              <w:pStyle w:val="BodyTextIndentBullet"/>
              <w:spacing w:before="120"/>
              <w:ind w:left="0"/>
              <w:rPr>
                <w:b/>
                <w:szCs w:val="20"/>
              </w:rPr>
            </w:pPr>
            <w:r>
              <w:rPr>
                <w:b/>
                <w:szCs w:val="20"/>
              </w:rPr>
              <w:t>Risk Treatment 202</w:t>
            </w:r>
            <w:r w:rsidR="00380CA3">
              <w:rPr>
                <w:b/>
                <w:szCs w:val="20"/>
              </w:rPr>
              <w:t>1</w:t>
            </w:r>
            <w:r>
              <w:rPr>
                <w:b/>
                <w:szCs w:val="20"/>
              </w:rPr>
              <w:t xml:space="preserve">/01/F: </w:t>
            </w:r>
            <w:r>
              <w:rPr>
                <w:szCs w:val="20"/>
              </w:rPr>
              <w:t>Examine the rationality of the SAR operational asset network, its locations, size(s</w:t>
            </w:r>
            <w:proofErr w:type="gramStart"/>
            <w:r>
              <w:rPr>
                <w:szCs w:val="20"/>
              </w:rPr>
              <w:t>)</w:t>
            </w:r>
            <w:proofErr w:type="gramEnd"/>
            <w:r>
              <w:rPr>
                <w:szCs w:val="20"/>
              </w:rPr>
              <w:t xml:space="preserve"> and capabilities. Compare to known and predicted SAR need. Links to 202</w:t>
            </w:r>
            <w:r w:rsidR="00D539A3">
              <w:rPr>
                <w:szCs w:val="20"/>
              </w:rPr>
              <w:t>1</w:t>
            </w:r>
            <w:r w:rsidRPr="006B1273">
              <w:rPr>
                <w:szCs w:val="20"/>
              </w:rPr>
              <w:t>/01/D</w:t>
            </w:r>
          </w:p>
        </w:tc>
        <w:tc>
          <w:tcPr>
            <w:tcW w:w="709" w:type="dxa"/>
            <w:shd w:val="clear" w:color="auto" w:fill="FF0000"/>
            <w:textDirection w:val="btLr"/>
          </w:tcPr>
          <w:p w14:paraId="5EC0908C" w14:textId="77777777" w:rsidR="00F61C8E" w:rsidRDefault="00F61C8E" w:rsidP="00A92280">
            <w:pPr>
              <w:pStyle w:val="BodyText"/>
              <w:spacing w:before="120" w:after="0"/>
              <w:ind w:left="113" w:right="113"/>
              <w:jc w:val="center"/>
              <w:rPr>
                <w:rFonts w:eastAsia="Times New Roman"/>
                <w:sz w:val="20"/>
                <w:szCs w:val="20"/>
              </w:rPr>
            </w:pPr>
            <w:r>
              <w:rPr>
                <w:rFonts w:eastAsia="Times New Roman"/>
                <w:sz w:val="20"/>
                <w:szCs w:val="20"/>
              </w:rPr>
              <w:t>Nil</w:t>
            </w:r>
          </w:p>
        </w:tc>
        <w:tc>
          <w:tcPr>
            <w:tcW w:w="794" w:type="dxa"/>
            <w:shd w:val="clear" w:color="auto" w:fill="00B050"/>
            <w:textDirection w:val="btLr"/>
          </w:tcPr>
          <w:p w14:paraId="1C764405" w14:textId="2E1F1D90" w:rsidR="00F61C8E" w:rsidRDefault="00F61C8E" w:rsidP="00A92280">
            <w:pPr>
              <w:pStyle w:val="BodyText"/>
              <w:spacing w:after="0"/>
              <w:jc w:val="center"/>
              <w:rPr>
                <w:rFonts w:eastAsia="Times New Roman"/>
                <w:sz w:val="20"/>
                <w:szCs w:val="20"/>
              </w:rPr>
            </w:pPr>
            <w:r>
              <w:rPr>
                <w:rFonts w:eastAsia="Times New Roman"/>
                <w:sz w:val="20"/>
                <w:szCs w:val="20"/>
              </w:rPr>
              <w:t>2020- -23</w:t>
            </w:r>
          </w:p>
        </w:tc>
        <w:tc>
          <w:tcPr>
            <w:tcW w:w="3260" w:type="dxa"/>
            <w:tcBorders>
              <w:top w:val="single" w:sz="2" w:space="0" w:color="auto"/>
            </w:tcBorders>
          </w:tcPr>
          <w:p w14:paraId="001C42A5" w14:textId="62B2B6F1" w:rsidR="00F61C8E" w:rsidRPr="000D1DCF" w:rsidRDefault="00F61C8E" w:rsidP="00A92280">
            <w:pPr>
              <w:pStyle w:val="BodyText"/>
              <w:spacing w:before="120" w:after="0"/>
              <w:rPr>
                <w:rFonts w:eastAsia="Times New Roman"/>
                <w:sz w:val="20"/>
                <w:szCs w:val="20"/>
              </w:rPr>
            </w:pPr>
            <w:r>
              <w:rPr>
                <w:rFonts w:eastAsia="Times New Roman"/>
                <w:sz w:val="20"/>
                <w:szCs w:val="20"/>
              </w:rPr>
              <w:t>Land and Marine SAR Supply and demand studies.  Regional SAR requirement assessments.</w:t>
            </w:r>
          </w:p>
        </w:tc>
      </w:tr>
    </w:tbl>
    <w:p w14:paraId="38C1238A" w14:textId="1E0A2A3A" w:rsidR="00E62F26" w:rsidRDefault="00804FC0" w:rsidP="00804FC0">
      <w:pPr>
        <w:tabs>
          <w:tab w:val="left" w:pos="10068"/>
        </w:tabs>
      </w:pPr>
      <w:r>
        <w:tab/>
      </w:r>
    </w:p>
    <w:tbl>
      <w:tblPr>
        <w:tblStyle w:val="TableGrid"/>
        <w:tblW w:w="22397" w:type="dxa"/>
        <w:tblInd w:w="-459" w:type="dxa"/>
        <w:tblLayout w:type="fixed"/>
        <w:tblLook w:val="04A0" w:firstRow="1" w:lastRow="0" w:firstColumn="1" w:lastColumn="0" w:noHBand="0" w:noVBand="1"/>
      </w:tblPr>
      <w:tblGrid>
        <w:gridCol w:w="984"/>
        <w:gridCol w:w="1560"/>
        <w:gridCol w:w="4396"/>
        <w:gridCol w:w="3691"/>
        <w:gridCol w:w="427"/>
        <w:gridCol w:w="428"/>
        <w:gridCol w:w="706"/>
        <w:gridCol w:w="5385"/>
        <w:gridCol w:w="709"/>
        <w:gridCol w:w="709"/>
        <w:gridCol w:w="3402"/>
      </w:tblGrid>
      <w:tr w:rsidR="00955915" w:rsidRPr="00286A2D" w14:paraId="2317A6A0" w14:textId="77777777" w:rsidTr="00DB648A">
        <w:trPr>
          <w:cantSplit/>
          <w:trHeight w:val="1809"/>
        </w:trPr>
        <w:tc>
          <w:tcPr>
            <w:tcW w:w="984" w:type="dxa"/>
            <w:shd w:val="clear" w:color="auto" w:fill="FBD4B4" w:themeFill="accent6" w:themeFillTint="66"/>
            <w:textDirection w:val="btLr"/>
            <w:vAlign w:val="center"/>
          </w:tcPr>
          <w:p w14:paraId="50B8AC1E" w14:textId="77777777" w:rsidR="009917A4" w:rsidRPr="00286A2D" w:rsidRDefault="009917A4" w:rsidP="00A92280">
            <w:pPr>
              <w:spacing w:line="360" w:lineRule="auto"/>
              <w:ind w:left="113" w:right="113"/>
              <w:jc w:val="center"/>
              <w:rPr>
                <w:b/>
                <w:sz w:val="20"/>
                <w:szCs w:val="20"/>
              </w:rPr>
            </w:pPr>
            <w:r w:rsidRPr="00286A2D">
              <w:rPr>
                <w:b/>
                <w:sz w:val="20"/>
                <w:szCs w:val="20"/>
              </w:rPr>
              <w:t>Risk #</w:t>
            </w:r>
          </w:p>
        </w:tc>
        <w:tc>
          <w:tcPr>
            <w:tcW w:w="1560" w:type="dxa"/>
            <w:shd w:val="clear" w:color="auto" w:fill="FBD4B4" w:themeFill="accent6" w:themeFillTint="66"/>
            <w:vAlign w:val="center"/>
          </w:tcPr>
          <w:p w14:paraId="57AFDDA7" w14:textId="77777777" w:rsidR="009917A4" w:rsidRPr="00286A2D" w:rsidRDefault="009917A4" w:rsidP="00A92280">
            <w:pPr>
              <w:rPr>
                <w:b/>
                <w:sz w:val="20"/>
                <w:szCs w:val="20"/>
              </w:rPr>
            </w:pPr>
            <w:r w:rsidRPr="00286A2D">
              <w:rPr>
                <w:b/>
                <w:sz w:val="20"/>
                <w:szCs w:val="20"/>
              </w:rPr>
              <w:t>Risk Description</w:t>
            </w:r>
          </w:p>
        </w:tc>
        <w:tc>
          <w:tcPr>
            <w:tcW w:w="4396" w:type="dxa"/>
            <w:shd w:val="clear" w:color="auto" w:fill="FBD4B4" w:themeFill="accent6" w:themeFillTint="66"/>
            <w:vAlign w:val="center"/>
          </w:tcPr>
          <w:p w14:paraId="10D738F2" w14:textId="77777777" w:rsidR="009917A4" w:rsidRPr="00286A2D" w:rsidRDefault="009917A4" w:rsidP="00A92280">
            <w:pPr>
              <w:rPr>
                <w:b/>
                <w:sz w:val="20"/>
                <w:szCs w:val="20"/>
              </w:rPr>
            </w:pPr>
            <w:r w:rsidRPr="00286A2D">
              <w:rPr>
                <w:b/>
                <w:sz w:val="20"/>
                <w:szCs w:val="20"/>
              </w:rPr>
              <w:t>Reasons or Causes</w:t>
            </w:r>
          </w:p>
        </w:tc>
        <w:tc>
          <w:tcPr>
            <w:tcW w:w="3691" w:type="dxa"/>
            <w:shd w:val="clear" w:color="auto" w:fill="FBD4B4" w:themeFill="accent6" w:themeFillTint="66"/>
            <w:vAlign w:val="center"/>
          </w:tcPr>
          <w:p w14:paraId="2BB05742" w14:textId="77777777" w:rsidR="009917A4" w:rsidRPr="00286A2D" w:rsidRDefault="009917A4" w:rsidP="00A92280">
            <w:pPr>
              <w:spacing w:line="360" w:lineRule="auto"/>
              <w:rPr>
                <w:b/>
                <w:sz w:val="20"/>
                <w:szCs w:val="20"/>
              </w:rPr>
            </w:pPr>
            <w:r>
              <w:rPr>
                <w:b/>
                <w:sz w:val="20"/>
                <w:szCs w:val="20"/>
              </w:rPr>
              <w:t>Consequences</w:t>
            </w:r>
          </w:p>
        </w:tc>
        <w:tc>
          <w:tcPr>
            <w:tcW w:w="427" w:type="dxa"/>
            <w:shd w:val="clear" w:color="auto" w:fill="FBD4B4" w:themeFill="accent6" w:themeFillTint="66"/>
            <w:textDirection w:val="btLr"/>
            <w:vAlign w:val="center"/>
          </w:tcPr>
          <w:p w14:paraId="2710536C" w14:textId="77777777" w:rsidR="009917A4" w:rsidRPr="00286A2D" w:rsidRDefault="009917A4" w:rsidP="008A2A89">
            <w:pPr>
              <w:spacing w:line="360" w:lineRule="auto"/>
              <w:ind w:left="113" w:right="113"/>
              <w:jc w:val="center"/>
              <w:rPr>
                <w:b/>
                <w:sz w:val="20"/>
                <w:szCs w:val="20"/>
              </w:rPr>
            </w:pPr>
            <w:r w:rsidRPr="00286A2D">
              <w:rPr>
                <w:b/>
                <w:sz w:val="20"/>
                <w:szCs w:val="20"/>
              </w:rPr>
              <w:t>Probability</w:t>
            </w:r>
          </w:p>
        </w:tc>
        <w:tc>
          <w:tcPr>
            <w:tcW w:w="428" w:type="dxa"/>
            <w:shd w:val="clear" w:color="auto" w:fill="FBD4B4" w:themeFill="accent6" w:themeFillTint="66"/>
            <w:textDirection w:val="btLr"/>
            <w:vAlign w:val="center"/>
          </w:tcPr>
          <w:p w14:paraId="385D24E9" w14:textId="77777777" w:rsidR="009917A4" w:rsidRPr="00286A2D" w:rsidRDefault="009917A4" w:rsidP="008A2A89">
            <w:pPr>
              <w:spacing w:line="360" w:lineRule="auto"/>
              <w:ind w:left="113" w:right="113"/>
              <w:jc w:val="center"/>
              <w:rPr>
                <w:b/>
                <w:sz w:val="20"/>
                <w:szCs w:val="20"/>
              </w:rPr>
            </w:pPr>
            <w:r w:rsidRPr="00286A2D">
              <w:rPr>
                <w:b/>
                <w:sz w:val="20"/>
                <w:szCs w:val="20"/>
              </w:rPr>
              <w:t>Impact</w:t>
            </w:r>
          </w:p>
        </w:tc>
        <w:tc>
          <w:tcPr>
            <w:tcW w:w="706" w:type="dxa"/>
            <w:tcBorders>
              <w:bottom w:val="single" w:sz="4" w:space="0" w:color="auto"/>
            </w:tcBorders>
            <w:shd w:val="clear" w:color="auto" w:fill="FBD4B4" w:themeFill="accent6" w:themeFillTint="66"/>
            <w:textDirection w:val="btLr"/>
            <w:vAlign w:val="center"/>
          </w:tcPr>
          <w:p w14:paraId="685DCDD7" w14:textId="77777777" w:rsidR="009917A4" w:rsidRPr="00286A2D" w:rsidRDefault="009917A4" w:rsidP="008A2A89">
            <w:pPr>
              <w:spacing w:line="360" w:lineRule="auto"/>
              <w:ind w:left="113" w:right="113"/>
              <w:jc w:val="center"/>
              <w:rPr>
                <w:b/>
                <w:sz w:val="20"/>
                <w:szCs w:val="20"/>
              </w:rPr>
            </w:pPr>
            <w:r>
              <w:rPr>
                <w:b/>
                <w:sz w:val="20"/>
                <w:szCs w:val="20"/>
              </w:rPr>
              <w:t xml:space="preserve">Risk </w:t>
            </w:r>
            <w:r w:rsidRPr="00286A2D">
              <w:rPr>
                <w:b/>
                <w:sz w:val="20"/>
                <w:szCs w:val="20"/>
              </w:rPr>
              <w:t>Level</w:t>
            </w:r>
            <w:r>
              <w:rPr>
                <w:b/>
                <w:sz w:val="20"/>
                <w:szCs w:val="20"/>
              </w:rPr>
              <w:t xml:space="preserve"> (Reviewed)</w:t>
            </w:r>
          </w:p>
        </w:tc>
        <w:tc>
          <w:tcPr>
            <w:tcW w:w="5385" w:type="dxa"/>
            <w:tcBorders>
              <w:bottom w:val="single" w:sz="4" w:space="0" w:color="auto"/>
            </w:tcBorders>
            <w:shd w:val="clear" w:color="auto" w:fill="FBD4B4" w:themeFill="accent6" w:themeFillTint="66"/>
            <w:vAlign w:val="center"/>
          </w:tcPr>
          <w:p w14:paraId="71AEB115" w14:textId="77777777" w:rsidR="009917A4" w:rsidRPr="00286A2D" w:rsidRDefault="009917A4" w:rsidP="008A2A89">
            <w:pPr>
              <w:jc w:val="center"/>
              <w:rPr>
                <w:b/>
                <w:sz w:val="20"/>
                <w:szCs w:val="20"/>
              </w:rPr>
            </w:pPr>
            <w:r>
              <w:rPr>
                <w:b/>
                <w:sz w:val="20"/>
                <w:szCs w:val="20"/>
              </w:rPr>
              <w:t>Risk Treatment(s)</w:t>
            </w:r>
          </w:p>
        </w:tc>
        <w:tc>
          <w:tcPr>
            <w:tcW w:w="709" w:type="dxa"/>
            <w:tcBorders>
              <w:bottom w:val="single" w:sz="4" w:space="0" w:color="auto"/>
            </w:tcBorders>
            <w:shd w:val="clear" w:color="auto" w:fill="FBD4B4" w:themeFill="accent6" w:themeFillTint="66"/>
            <w:textDirection w:val="btLr"/>
          </w:tcPr>
          <w:p w14:paraId="55CC55C2" w14:textId="77777777" w:rsidR="009917A4" w:rsidRDefault="009917A4" w:rsidP="008A2A89">
            <w:pPr>
              <w:ind w:left="113" w:right="113"/>
              <w:jc w:val="center"/>
              <w:rPr>
                <w:b/>
                <w:sz w:val="20"/>
                <w:szCs w:val="20"/>
              </w:rPr>
            </w:pPr>
            <w:r>
              <w:rPr>
                <w:b/>
                <w:sz w:val="20"/>
                <w:szCs w:val="20"/>
              </w:rPr>
              <w:t>Treatment Implementation</w:t>
            </w:r>
          </w:p>
        </w:tc>
        <w:tc>
          <w:tcPr>
            <w:tcW w:w="709" w:type="dxa"/>
            <w:tcBorders>
              <w:bottom w:val="single" w:sz="4" w:space="0" w:color="auto"/>
            </w:tcBorders>
            <w:shd w:val="clear" w:color="auto" w:fill="FBD4B4" w:themeFill="accent6" w:themeFillTint="66"/>
            <w:textDirection w:val="btLr"/>
            <w:vAlign w:val="center"/>
          </w:tcPr>
          <w:p w14:paraId="1B02D94F" w14:textId="77777777" w:rsidR="009917A4" w:rsidRDefault="009917A4" w:rsidP="008A2A89">
            <w:pPr>
              <w:jc w:val="center"/>
              <w:rPr>
                <w:b/>
                <w:sz w:val="20"/>
                <w:szCs w:val="20"/>
              </w:rPr>
            </w:pPr>
            <w:r>
              <w:rPr>
                <w:b/>
                <w:sz w:val="20"/>
                <w:szCs w:val="20"/>
              </w:rPr>
              <w:t>Post Treatment</w:t>
            </w:r>
          </w:p>
          <w:p w14:paraId="57575968" w14:textId="77777777" w:rsidR="009917A4" w:rsidRDefault="009917A4" w:rsidP="008A2A89">
            <w:pPr>
              <w:jc w:val="center"/>
              <w:rPr>
                <w:b/>
                <w:sz w:val="20"/>
                <w:szCs w:val="20"/>
              </w:rPr>
            </w:pPr>
            <w:r>
              <w:rPr>
                <w:b/>
                <w:sz w:val="20"/>
                <w:szCs w:val="20"/>
              </w:rPr>
              <w:t>Impact</w:t>
            </w:r>
          </w:p>
        </w:tc>
        <w:tc>
          <w:tcPr>
            <w:tcW w:w="3402" w:type="dxa"/>
            <w:shd w:val="clear" w:color="auto" w:fill="FBD4B4" w:themeFill="accent6" w:themeFillTint="66"/>
            <w:vAlign w:val="center"/>
          </w:tcPr>
          <w:p w14:paraId="4D0DBCFA" w14:textId="6FE1D3B5" w:rsidR="009917A4" w:rsidRPr="00286A2D" w:rsidRDefault="009917A4" w:rsidP="008A2A89">
            <w:pPr>
              <w:jc w:val="center"/>
              <w:rPr>
                <w:b/>
                <w:sz w:val="20"/>
                <w:szCs w:val="20"/>
              </w:rPr>
            </w:pPr>
            <w:r>
              <w:rPr>
                <w:b/>
                <w:sz w:val="20"/>
                <w:szCs w:val="20"/>
              </w:rPr>
              <w:t>Comments</w:t>
            </w:r>
            <w:r w:rsidR="004D2FAF">
              <w:rPr>
                <w:b/>
                <w:sz w:val="20"/>
                <w:szCs w:val="20"/>
              </w:rPr>
              <w:t xml:space="preserve"> </w:t>
            </w:r>
            <w:r>
              <w:rPr>
                <w:b/>
                <w:sz w:val="20"/>
                <w:szCs w:val="20"/>
              </w:rPr>
              <w:t>/</w:t>
            </w:r>
            <w:r w:rsidR="004D2FAF">
              <w:rPr>
                <w:b/>
                <w:sz w:val="20"/>
                <w:szCs w:val="20"/>
              </w:rPr>
              <w:t xml:space="preserve"> </w:t>
            </w:r>
            <w:r>
              <w:rPr>
                <w:b/>
                <w:sz w:val="20"/>
                <w:szCs w:val="20"/>
              </w:rPr>
              <w:t>Examples</w:t>
            </w:r>
          </w:p>
        </w:tc>
      </w:tr>
      <w:tr w:rsidR="00955915" w:rsidRPr="00A92280" w14:paraId="60CF17C8" w14:textId="77777777" w:rsidTr="00DB648A">
        <w:trPr>
          <w:cantSplit/>
          <w:trHeight w:val="1100"/>
        </w:trPr>
        <w:tc>
          <w:tcPr>
            <w:tcW w:w="984" w:type="dxa"/>
            <w:vMerge w:val="restart"/>
          </w:tcPr>
          <w:p w14:paraId="39FC5645" w14:textId="6985FA64" w:rsidR="00E62F26" w:rsidRPr="002D6CCE" w:rsidRDefault="00E62F26" w:rsidP="00A92280">
            <w:pPr>
              <w:pStyle w:val="BodyText"/>
              <w:spacing w:before="120" w:after="0"/>
              <w:rPr>
                <w:rFonts w:eastAsia="Times New Roman"/>
                <w:sz w:val="20"/>
                <w:szCs w:val="20"/>
              </w:rPr>
            </w:pPr>
            <w:r>
              <w:rPr>
                <w:rFonts w:eastAsia="Times New Roman"/>
                <w:sz w:val="20"/>
                <w:szCs w:val="20"/>
              </w:rPr>
              <w:t>202</w:t>
            </w:r>
            <w:r w:rsidR="00380CA3">
              <w:rPr>
                <w:rFonts w:eastAsia="Times New Roman"/>
                <w:sz w:val="20"/>
                <w:szCs w:val="20"/>
              </w:rPr>
              <w:t>1</w:t>
            </w:r>
            <w:r>
              <w:rPr>
                <w:rFonts w:eastAsia="Times New Roman"/>
                <w:sz w:val="20"/>
                <w:szCs w:val="20"/>
              </w:rPr>
              <w:t xml:space="preserve">/02 </w:t>
            </w:r>
          </w:p>
        </w:tc>
        <w:tc>
          <w:tcPr>
            <w:tcW w:w="1560" w:type="dxa"/>
            <w:vMerge w:val="restart"/>
          </w:tcPr>
          <w:p w14:paraId="208661CC" w14:textId="77777777" w:rsidR="00E62F26" w:rsidRPr="00904DB1" w:rsidRDefault="00E62F26" w:rsidP="00A92280">
            <w:pPr>
              <w:pStyle w:val="BodyText"/>
              <w:spacing w:before="120" w:after="0"/>
              <w:rPr>
                <w:rFonts w:eastAsia="Times New Roman"/>
                <w:b/>
                <w:sz w:val="20"/>
                <w:szCs w:val="20"/>
              </w:rPr>
            </w:pPr>
            <w:r w:rsidRPr="00904DB1">
              <w:rPr>
                <w:rFonts w:eastAsia="Times New Roman"/>
                <w:b/>
                <w:sz w:val="20"/>
                <w:szCs w:val="20"/>
              </w:rPr>
              <w:t>S</w:t>
            </w:r>
            <w:r>
              <w:rPr>
                <w:rFonts w:eastAsia="Times New Roman"/>
                <w:b/>
                <w:sz w:val="20"/>
                <w:szCs w:val="20"/>
              </w:rPr>
              <w:t>AR F</w:t>
            </w:r>
            <w:r w:rsidRPr="00904DB1">
              <w:rPr>
                <w:rFonts w:eastAsia="Times New Roman"/>
                <w:b/>
                <w:sz w:val="20"/>
                <w:szCs w:val="20"/>
              </w:rPr>
              <w:t xml:space="preserve">unding </w:t>
            </w:r>
          </w:p>
          <w:p w14:paraId="5E628295" w14:textId="77777777" w:rsidR="00E62F26" w:rsidRDefault="00E62F26" w:rsidP="00A92280">
            <w:pPr>
              <w:pStyle w:val="BodyText"/>
              <w:spacing w:before="120" w:after="0"/>
              <w:rPr>
                <w:rFonts w:eastAsia="Times New Roman"/>
                <w:sz w:val="20"/>
                <w:szCs w:val="20"/>
              </w:rPr>
            </w:pPr>
          </w:p>
          <w:p w14:paraId="0438862B" w14:textId="77777777" w:rsidR="00E62F26" w:rsidRDefault="00E62F26" w:rsidP="00A92280">
            <w:pPr>
              <w:pStyle w:val="BodyText"/>
              <w:spacing w:before="120" w:after="0"/>
              <w:rPr>
                <w:rFonts w:eastAsia="Times New Roman"/>
                <w:sz w:val="20"/>
                <w:szCs w:val="20"/>
              </w:rPr>
            </w:pPr>
            <w:r>
              <w:rPr>
                <w:rFonts w:eastAsia="Times New Roman"/>
                <w:sz w:val="20"/>
                <w:szCs w:val="20"/>
              </w:rPr>
              <w:t>The sector experiences funding sufficiency and volatility risks.</w:t>
            </w:r>
          </w:p>
          <w:p w14:paraId="077FD2A7" w14:textId="77777777" w:rsidR="00E62F26" w:rsidRDefault="00E62F26" w:rsidP="00A92280">
            <w:pPr>
              <w:pStyle w:val="BodyText"/>
              <w:spacing w:before="120" w:after="0"/>
              <w:rPr>
                <w:rFonts w:eastAsia="Times New Roman"/>
                <w:sz w:val="20"/>
                <w:szCs w:val="20"/>
              </w:rPr>
            </w:pPr>
          </w:p>
          <w:p w14:paraId="4DC0F888" w14:textId="77777777" w:rsidR="00E62F26" w:rsidRPr="00904DB1" w:rsidRDefault="00E62F26" w:rsidP="00A92280">
            <w:pPr>
              <w:pStyle w:val="BodyText"/>
              <w:spacing w:before="120" w:after="0"/>
              <w:rPr>
                <w:rFonts w:eastAsia="Times New Roman"/>
                <w:b/>
                <w:sz w:val="20"/>
                <w:szCs w:val="20"/>
              </w:rPr>
            </w:pPr>
          </w:p>
        </w:tc>
        <w:tc>
          <w:tcPr>
            <w:tcW w:w="4396" w:type="dxa"/>
          </w:tcPr>
          <w:p w14:paraId="7F0B4528" w14:textId="77777777" w:rsidR="00E62F26" w:rsidRPr="0019480D" w:rsidRDefault="00E62F26" w:rsidP="00A92280">
            <w:pPr>
              <w:pStyle w:val="BodyText"/>
              <w:spacing w:before="120" w:after="0"/>
              <w:rPr>
                <w:rFonts w:eastAsia="Times New Roman"/>
                <w:sz w:val="20"/>
                <w:szCs w:val="20"/>
              </w:rPr>
            </w:pPr>
            <w:r w:rsidRPr="00904DB1">
              <w:rPr>
                <w:rFonts w:eastAsia="Times New Roman"/>
                <w:b/>
                <w:sz w:val="20"/>
                <w:szCs w:val="20"/>
              </w:rPr>
              <w:t>Sufficiency</w:t>
            </w:r>
            <w:r>
              <w:rPr>
                <w:rFonts w:eastAsia="Times New Roman"/>
                <w:sz w:val="20"/>
                <w:szCs w:val="20"/>
              </w:rPr>
              <w:t xml:space="preserve">.  Funding for the wider SAR sector has a variety of sources.    Funders may choose to lessen or withdraw their funding support.  </w:t>
            </w:r>
            <w:r w:rsidRPr="00506656">
              <w:rPr>
                <w:rFonts w:eastAsia="Times New Roman"/>
                <w:sz w:val="20"/>
                <w:szCs w:val="20"/>
              </w:rPr>
              <w:t>Insufficient funding is available for organisational infrastructure, support, back-office capabilities.</w:t>
            </w:r>
          </w:p>
        </w:tc>
        <w:tc>
          <w:tcPr>
            <w:tcW w:w="3691" w:type="dxa"/>
          </w:tcPr>
          <w:p w14:paraId="6E6901DF" w14:textId="77777777" w:rsidR="00E62F26" w:rsidRPr="00286A2D" w:rsidRDefault="00E62F26" w:rsidP="00A92280">
            <w:pPr>
              <w:pStyle w:val="BodyText"/>
              <w:spacing w:before="120" w:after="0"/>
              <w:rPr>
                <w:rFonts w:eastAsia="Times New Roman"/>
                <w:sz w:val="20"/>
                <w:szCs w:val="20"/>
              </w:rPr>
            </w:pPr>
            <w:r>
              <w:rPr>
                <w:rFonts w:eastAsia="Times New Roman"/>
                <w:sz w:val="20"/>
                <w:szCs w:val="20"/>
              </w:rPr>
              <w:t>Inadequate funding for part or some of the sector may limit investment in training or equipment and lead to inadequate operational responses.</w:t>
            </w:r>
          </w:p>
        </w:tc>
        <w:tc>
          <w:tcPr>
            <w:tcW w:w="427" w:type="dxa"/>
            <w:textDirection w:val="btLr"/>
            <w:vAlign w:val="center"/>
          </w:tcPr>
          <w:p w14:paraId="4D79A90B" w14:textId="77777777" w:rsidR="00E62F26" w:rsidRDefault="00E62F26" w:rsidP="00A92280">
            <w:pPr>
              <w:pStyle w:val="Heading2"/>
              <w:spacing w:before="120" w:line="360" w:lineRule="auto"/>
              <w:ind w:left="113" w:right="113"/>
              <w:jc w:val="center"/>
              <w:outlineLvl w:val="1"/>
              <w:rPr>
                <w:b w:val="0"/>
                <w:color w:val="auto"/>
                <w:sz w:val="20"/>
              </w:rPr>
            </w:pPr>
            <w:r>
              <w:rPr>
                <w:b w:val="0"/>
                <w:color w:val="auto"/>
                <w:sz w:val="20"/>
              </w:rPr>
              <w:t>Possible</w:t>
            </w:r>
          </w:p>
        </w:tc>
        <w:tc>
          <w:tcPr>
            <w:tcW w:w="428" w:type="dxa"/>
            <w:textDirection w:val="btLr"/>
            <w:vAlign w:val="center"/>
          </w:tcPr>
          <w:p w14:paraId="4F56ED87" w14:textId="77777777" w:rsidR="00E62F26" w:rsidRDefault="00E62F26" w:rsidP="00A92280">
            <w:pPr>
              <w:pStyle w:val="Heading2"/>
              <w:spacing w:before="120" w:line="360" w:lineRule="auto"/>
              <w:ind w:left="113" w:right="113"/>
              <w:jc w:val="center"/>
              <w:outlineLvl w:val="1"/>
              <w:rPr>
                <w:b w:val="0"/>
                <w:color w:val="auto"/>
                <w:sz w:val="20"/>
              </w:rPr>
            </w:pPr>
            <w:r>
              <w:rPr>
                <w:b w:val="0"/>
                <w:color w:val="auto"/>
                <w:sz w:val="20"/>
              </w:rPr>
              <w:t>Moderate</w:t>
            </w:r>
          </w:p>
        </w:tc>
        <w:tc>
          <w:tcPr>
            <w:tcW w:w="706" w:type="dxa"/>
            <w:shd w:val="clear" w:color="auto" w:fill="FFFF00"/>
            <w:textDirection w:val="btLr"/>
            <w:vAlign w:val="center"/>
          </w:tcPr>
          <w:p w14:paraId="54E32869" w14:textId="77777777" w:rsidR="00E62F26" w:rsidRDefault="00E62F26" w:rsidP="00A92280">
            <w:pPr>
              <w:jc w:val="center"/>
              <w:rPr>
                <w:b/>
                <w:sz w:val="20"/>
              </w:rPr>
            </w:pPr>
            <w:r>
              <w:rPr>
                <w:b/>
                <w:sz w:val="20"/>
              </w:rPr>
              <w:t>(Jul 19)</w:t>
            </w:r>
          </w:p>
        </w:tc>
        <w:tc>
          <w:tcPr>
            <w:tcW w:w="5385" w:type="dxa"/>
          </w:tcPr>
          <w:p w14:paraId="29923237" w14:textId="2A2B3A6D" w:rsidR="00E62F26" w:rsidRDefault="00E62F26" w:rsidP="00A92280">
            <w:pPr>
              <w:pStyle w:val="BodyText"/>
              <w:spacing w:before="120" w:after="0"/>
              <w:rPr>
                <w:rFonts w:eastAsia="Times New Roman"/>
                <w:b/>
                <w:sz w:val="20"/>
                <w:szCs w:val="20"/>
              </w:rPr>
            </w:pPr>
            <w:r>
              <w:rPr>
                <w:rFonts w:eastAsia="Times New Roman"/>
                <w:b/>
                <w:sz w:val="20"/>
                <w:szCs w:val="20"/>
              </w:rPr>
              <w:t>R</w:t>
            </w:r>
            <w:r w:rsidRPr="009441E2">
              <w:rPr>
                <w:rFonts w:eastAsia="Times New Roman"/>
                <w:b/>
                <w:sz w:val="20"/>
                <w:szCs w:val="20"/>
              </w:rPr>
              <w:t xml:space="preserve">isk treatment </w:t>
            </w:r>
            <w:r>
              <w:rPr>
                <w:rFonts w:eastAsia="Times New Roman"/>
                <w:b/>
                <w:sz w:val="20"/>
                <w:szCs w:val="20"/>
              </w:rPr>
              <w:t>202</w:t>
            </w:r>
            <w:r w:rsidR="0093342E">
              <w:rPr>
                <w:rFonts w:eastAsia="Times New Roman"/>
                <w:b/>
                <w:sz w:val="20"/>
                <w:szCs w:val="20"/>
              </w:rPr>
              <w:t>1</w:t>
            </w:r>
            <w:r w:rsidRPr="009441E2">
              <w:rPr>
                <w:rFonts w:eastAsia="Times New Roman"/>
                <w:b/>
                <w:sz w:val="20"/>
                <w:szCs w:val="20"/>
              </w:rPr>
              <w:t>/02/</w:t>
            </w:r>
            <w:r>
              <w:rPr>
                <w:rFonts w:eastAsia="Times New Roman"/>
                <w:b/>
                <w:sz w:val="20"/>
                <w:szCs w:val="20"/>
              </w:rPr>
              <w:t>A</w:t>
            </w:r>
            <w:r w:rsidRPr="009441E2">
              <w:rPr>
                <w:rFonts w:eastAsia="Times New Roman"/>
                <w:b/>
                <w:sz w:val="20"/>
                <w:szCs w:val="20"/>
              </w:rPr>
              <w:t>:</w:t>
            </w:r>
            <w:r>
              <w:rPr>
                <w:rFonts w:eastAsia="Times New Roman"/>
                <w:b/>
                <w:sz w:val="20"/>
                <w:szCs w:val="20"/>
              </w:rPr>
              <w:t xml:space="preserve">  SAR Funding</w:t>
            </w:r>
          </w:p>
          <w:p w14:paraId="689D3B4C" w14:textId="1ADA360F" w:rsidR="00E62F26" w:rsidRPr="008A5A2F" w:rsidRDefault="00E62F26" w:rsidP="00A92280">
            <w:pPr>
              <w:pStyle w:val="BodyText"/>
              <w:spacing w:before="120" w:after="0"/>
              <w:rPr>
                <w:rFonts w:eastAsia="Times New Roman"/>
                <w:b/>
                <w:sz w:val="20"/>
                <w:szCs w:val="20"/>
              </w:rPr>
            </w:pPr>
            <w:r>
              <w:rPr>
                <w:rFonts w:eastAsia="Times New Roman"/>
                <w:sz w:val="20"/>
                <w:szCs w:val="20"/>
              </w:rPr>
              <w:t xml:space="preserve">Work with other key SAR funders to sustain adequate supply.  Maintain </w:t>
            </w:r>
            <w:r w:rsidR="004D2FAF">
              <w:rPr>
                <w:rFonts w:eastAsia="Times New Roman"/>
                <w:sz w:val="20"/>
                <w:szCs w:val="20"/>
              </w:rPr>
              <w:t xml:space="preserve">sufficient </w:t>
            </w:r>
            <w:r>
              <w:rPr>
                <w:rFonts w:eastAsia="Times New Roman"/>
                <w:sz w:val="20"/>
                <w:szCs w:val="20"/>
              </w:rPr>
              <w:t xml:space="preserve">PLA funding </w:t>
            </w:r>
            <w:r w:rsidR="004D2FAF">
              <w:rPr>
                <w:rFonts w:eastAsia="Times New Roman"/>
                <w:sz w:val="20"/>
                <w:szCs w:val="20"/>
              </w:rPr>
              <w:t xml:space="preserve">to NZSAR and Sector agencies </w:t>
            </w:r>
            <w:r>
              <w:rPr>
                <w:rFonts w:eastAsia="Times New Roman"/>
                <w:sz w:val="20"/>
                <w:szCs w:val="20"/>
              </w:rPr>
              <w:t>to meet Council goals</w:t>
            </w:r>
            <w:r w:rsidR="004D2FAF">
              <w:rPr>
                <w:rFonts w:eastAsia="Times New Roman"/>
                <w:sz w:val="20"/>
                <w:szCs w:val="20"/>
              </w:rPr>
              <w:t>, workplans and address identified risks</w:t>
            </w:r>
            <w:r>
              <w:rPr>
                <w:rFonts w:eastAsia="Times New Roman"/>
                <w:sz w:val="20"/>
                <w:szCs w:val="20"/>
              </w:rPr>
              <w:t>.</w:t>
            </w:r>
          </w:p>
        </w:tc>
        <w:tc>
          <w:tcPr>
            <w:tcW w:w="709" w:type="dxa"/>
            <w:shd w:val="clear" w:color="auto" w:fill="FFFF00"/>
            <w:textDirection w:val="btLr"/>
            <w:vAlign w:val="center"/>
          </w:tcPr>
          <w:p w14:paraId="72F8D236" w14:textId="77777777" w:rsidR="00E62F26" w:rsidRPr="004D2FAF" w:rsidRDefault="00E62F26" w:rsidP="00A92280">
            <w:pPr>
              <w:jc w:val="center"/>
              <w:rPr>
                <w:sz w:val="20"/>
              </w:rPr>
            </w:pPr>
            <w:r w:rsidRPr="004D2FAF">
              <w:rPr>
                <w:sz w:val="20"/>
              </w:rPr>
              <w:t>Partial</w:t>
            </w:r>
          </w:p>
        </w:tc>
        <w:tc>
          <w:tcPr>
            <w:tcW w:w="709" w:type="dxa"/>
            <w:shd w:val="clear" w:color="auto" w:fill="00B050"/>
            <w:textDirection w:val="btLr"/>
            <w:vAlign w:val="center"/>
          </w:tcPr>
          <w:p w14:paraId="4EA54845" w14:textId="686C015B" w:rsidR="00E62F26" w:rsidRPr="004D2FAF" w:rsidRDefault="004D4376" w:rsidP="00A92280">
            <w:pPr>
              <w:ind w:left="113" w:right="113"/>
              <w:jc w:val="center"/>
              <w:rPr>
                <w:sz w:val="20"/>
                <w:szCs w:val="20"/>
              </w:rPr>
            </w:pPr>
            <w:r>
              <w:rPr>
                <w:sz w:val="20"/>
                <w:szCs w:val="20"/>
              </w:rPr>
              <w:t>Ongoing</w:t>
            </w:r>
          </w:p>
        </w:tc>
        <w:tc>
          <w:tcPr>
            <w:tcW w:w="3402" w:type="dxa"/>
          </w:tcPr>
          <w:p w14:paraId="35D25336" w14:textId="02BEEB5D" w:rsidR="00E62F26" w:rsidRPr="00A92280" w:rsidRDefault="004D2FAF" w:rsidP="004D2FAF">
            <w:pPr>
              <w:pStyle w:val="BodyText"/>
              <w:rPr>
                <w:rFonts w:eastAsia="Times New Roman"/>
                <w:sz w:val="20"/>
                <w:szCs w:val="20"/>
              </w:rPr>
            </w:pPr>
            <w:r>
              <w:rPr>
                <w:sz w:val="20"/>
              </w:rPr>
              <w:t xml:space="preserve">PLA funding is reviewed triennially. </w:t>
            </w:r>
            <w:r w:rsidR="00E62F26" w:rsidRPr="00A92280">
              <w:rPr>
                <w:sz w:val="20"/>
              </w:rPr>
              <w:t xml:space="preserve"> </w:t>
            </w:r>
            <w:r>
              <w:rPr>
                <w:sz w:val="20"/>
              </w:rPr>
              <w:t xml:space="preserve">  LGB OSC is informed of SAR activity and statistics.</w:t>
            </w:r>
            <w:r w:rsidR="00E62F26" w:rsidRPr="00A92280">
              <w:rPr>
                <w:sz w:val="20"/>
              </w:rPr>
              <w:t xml:space="preserve"> </w:t>
            </w:r>
            <w:r>
              <w:rPr>
                <w:sz w:val="20"/>
              </w:rPr>
              <w:t xml:space="preserve"> Some NGOs are supported to </w:t>
            </w:r>
            <w:r w:rsidR="008A2A89">
              <w:rPr>
                <w:sz w:val="20"/>
              </w:rPr>
              <w:t>undertake fundraising</w:t>
            </w:r>
            <w:r>
              <w:rPr>
                <w:sz w:val="20"/>
              </w:rPr>
              <w:t xml:space="preserve"> activities.</w:t>
            </w:r>
          </w:p>
        </w:tc>
      </w:tr>
      <w:tr w:rsidR="00955915" w:rsidRPr="00A92280" w14:paraId="7818E7FC" w14:textId="77777777" w:rsidTr="00DB648A">
        <w:trPr>
          <w:cantSplit/>
          <w:trHeight w:val="780"/>
        </w:trPr>
        <w:tc>
          <w:tcPr>
            <w:tcW w:w="984" w:type="dxa"/>
            <w:vMerge/>
          </w:tcPr>
          <w:p w14:paraId="03D03358" w14:textId="77777777" w:rsidR="00E62F26" w:rsidRDefault="00E62F26" w:rsidP="00A92280">
            <w:pPr>
              <w:pStyle w:val="BodyText"/>
              <w:spacing w:before="120" w:after="0"/>
              <w:rPr>
                <w:rFonts w:eastAsia="Times New Roman"/>
                <w:sz w:val="20"/>
                <w:szCs w:val="20"/>
              </w:rPr>
            </w:pPr>
          </w:p>
        </w:tc>
        <w:tc>
          <w:tcPr>
            <w:tcW w:w="1560" w:type="dxa"/>
            <w:vMerge/>
          </w:tcPr>
          <w:p w14:paraId="654E68B8" w14:textId="77777777" w:rsidR="00E62F26" w:rsidRPr="00904DB1" w:rsidRDefault="00E62F26" w:rsidP="00A92280">
            <w:pPr>
              <w:pStyle w:val="BodyText"/>
              <w:spacing w:before="120" w:after="0"/>
              <w:rPr>
                <w:rFonts w:eastAsia="Times New Roman"/>
                <w:b/>
                <w:sz w:val="20"/>
                <w:szCs w:val="20"/>
              </w:rPr>
            </w:pPr>
          </w:p>
        </w:tc>
        <w:tc>
          <w:tcPr>
            <w:tcW w:w="4396" w:type="dxa"/>
            <w:vMerge w:val="restart"/>
          </w:tcPr>
          <w:p w14:paraId="0C144C10" w14:textId="77777777" w:rsidR="00E62F26" w:rsidRPr="0019480D" w:rsidRDefault="00E62F26" w:rsidP="00A92280">
            <w:pPr>
              <w:pStyle w:val="BodyText"/>
              <w:spacing w:before="120" w:after="0"/>
              <w:rPr>
                <w:rFonts w:eastAsia="Times New Roman"/>
                <w:sz w:val="20"/>
                <w:szCs w:val="20"/>
              </w:rPr>
            </w:pPr>
            <w:r w:rsidRPr="00904DB1">
              <w:rPr>
                <w:rFonts w:eastAsia="Times New Roman"/>
                <w:b/>
                <w:sz w:val="20"/>
                <w:szCs w:val="20"/>
              </w:rPr>
              <w:t>Volatility</w:t>
            </w:r>
            <w:r>
              <w:rPr>
                <w:rFonts w:eastAsia="Times New Roman"/>
                <w:sz w:val="20"/>
                <w:szCs w:val="20"/>
              </w:rPr>
              <w:t xml:space="preserve">. The funding levels for SAR agencies can be volatile due to profit variances with key gaming or lotteries trusts &amp; boards.  </w:t>
            </w:r>
            <w:proofErr w:type="gramStart"/>
            <w:r>
              <w:rPr>
                <w:rFonts w:eastAsia="Times New Roman"/>
                <w:sz w:val="20"/>
                <w:szCs w:val="20"/>
              </w:rPr>
              <w:t>Grants</w:t>
            </w:r>
            <w:proofErr w:type="gramEnd"/>
            <w:r>
              <w:rPr>
                <w:rFonts w:eastAsia="Times New Roman"/>
                <w:sz w:val="20"/>
                <w:szCs w:val="20"/>
              </w:rPr>
              <w:t xml:space="preserve"> policies also frequently change which can affect eligibility.   Public appeals &amp; donations are susceptible to change. </w:t>
            </w:r>
          </w:p>
        </w:tc>
        <w:tc>
          <w:tcPr>
            <w:tcW w:w="3691" w:type="dxa"/>
            <w:vMerge w:val="restart"/>
          </w:tcPr>
          <w:p w14:paraId="01B6C6E7" w14:textId="77777777" w:rsidR="00E62F26" w:rsidRPr="00286A2D" w:rsidRDefault="00E62F26" w:rsidP="00A92280">
            <w:pPr>
              <w:pStyle w:val="BodyText"/>
              <w:spacing w:before="120" w:after="0"/>
              <w:rPr>
                <w:rFonts w:eastAsia="Times New Roman"/>
                <w:sz w:val="20"/>
                <w:szCs w:val="20"/>
              </w:rPr>
            </w:pPr>
            <w:r>
              <w:rPr>
                <w:rFonts w:eastAsia="Times New Roman"/>
                <w:sz w:val="20"/>
                <w:szCs w:val="20"/>
              </w:rPr>
              <w:t xml:space="preserve">Volatile funding inhibits long term planning and investment.  It also degrades sector effectiveness and efficiency. </w:t>
            </w:r>
          </w:p>
        </w:tc>
        <w:tc>
          <w:tcPr>
            <w:tcW w:w="427" w:type="dxa"/>
            <w:vMerge w:val="restart"/>
            <w:textDirection w:val="btLr"/>
            <w:vAlign w:val="center"/>
          </w:tcPr>
          <w:p w14:paraId="5BF92B29" w14:textId="77777777" w:rsidR="00E62F26" w:rsidRDefault="00E62F26" w:rsidP="00A92280">
            <w:pPr>
              <w:pStyle w:val="Heading2"/>
              <w:spacing w:before="120" w:line="360" w:lineRule="auto"/>
              <w:ind w:left="113" w:right="113"/>
              <w:jc w:val="center"/>
              <w:outlineLvl w:val="1"/>
              <w:rPr>
                <w:b w:val="0"/>
                <w:color w:val="auto"/>
                <w:sz w:val="20"/>
              </w:rPr>
            </w:pPr>
            <w:r>
              <w:rPr>
                <w:b w:val="0"/>
                <w:color w:val="auto"/>
                <w:sz w:val="20"/>
              </w:rPr>
              <w:t>Possible</w:t>
            </w:r>
          </w:p>
        </w:tc>
        <w:tc>
          <w:tcPr>
            <w:tcW w:w="428" w:type="dxa"/>
            <w:vMerge w:val="restart"/>
            <w:textDirection w:val="btLr"/>
            <w:vAlign w:val="center"/>
          </w:tcPr>
          <w:p w14:paraId="00F9BA4A" w14:textId="77777777" w:rsidR="00E62F26" w:rsidRDefault="00E62F26" w:rsidP="00A92280">
            <w:pPr>
              <w:pStyle w:val="Heading2"/>
              <w:spacing w:before="120" w:line="360" w:lineRule="auto"/>
              <w:ind w:left="113" w:right="113"/>
              <w:jc w:val="center"/>
              <w:outlineLvl w:val="1"/>
              <w:rPr>
                <w:b w:val="0"/>
                <w:color w:val="auto"/>
                <w:sz w:val="20"/>
              </w:rPr>
            </w:pPr>
            <w:r>
              <w:rPr>
                <w:b w:val="0"/>
                <w:color w:val="auto"/>
                <w:sz w:val="20"/>
              </w:rPr>
              <w:t>Moderate</w:t>
            </w:r>
          </w:p>
        </w:tc>
        <w:tc>
          <w:tcPr>
            <w:tcW w:w="706" w:type="dxa"/>
            <w:vMerge w:val="restart"/>
            <w:shd w:val="clear" w:color="auto" w:fill="FFFF00"/>
            <w:textDirection w:val="btLr"/>
            <w:vAlign w:val="center"/>
          </w:tcPr>
          <w:p w14:paraId="076C4CB4" w14:textId="77777777" w:rsidR="00E62F26" w:rsidRDefault="00E62F26" w:rsidP="00A92280">
            <w:pPr>
              <w:jc w:val="center"/>
              <w:rPr>
                <w:b/>
                <w:sz w:val="20"/>
              </w:rPr>
            </w:pPr>
            <w:r>
              <w:rPr>
                <w:b/>
                <w:sz w:val="20"/>
              </w:rPr>
              <w:t>(Jul 19)</w:t>
            </w:r>
          </w:p>
        </w:tc>
        <w:tc>
          <w:tcPr>
            <w:tcW w:w="5385" w:type="dxa"/>
          </w:tcPr>
          <w:p w14:paraId="60C7421F" w14:textId="1423E67E" w:rsidR="00E62F26" w:rsidRDefault="00E62F26" w:rsidP="00A92280">
            <w:pPr>
              <w:pStyle w:val="BodyText"/>
              <w:spacing w:before="120" w:after="0"/>
              <w:rPr>
                <w:rFonts w:eastAsia="Times New Roman"/>
                <w:b/>
                <w:sz w:val="20"/>
                <w:szCs w:val="20"/>
              </w:rPr>
            </w:pPr>
            <w:r>
              <w:rPr>
                <w:rFonts w:eastAsia="Times New Roman"/>
                <w:b/>
                <w:sz w:val="20"/>
                <w:szCs w:val="20"/>
              </w:rPr>
              <w:t>R</w:t>
            </w:r>
            <w:r w:rsidRPr="009441E2">
              <w:rPr>
                <w:rFonts w:eastAsia="Times New Roman"/>
                <w:b/>
                <w:sz w:val="20"/>
                <w:szCs w:val="20"/>
              </w:rPr>
              <w:t xml:space="preserve">isk treatment </w:t>
            </w:r>
            <w:r>
              <w:rPr>
                <w:rFonts w:eastAsia="Times New Roman"/>
                <w:b/>
                <w:sz w:val="20"/>
                <w:szCs w:val="20"/>
              </w:rPr>
              <w:t>202</w:t>
            </w:r>
            <w:r w:rsidR="0093342E">
              <w:rPr>
                <w:rFonts w:eastAsia="Times New Roman"/>
                <w:b/>
                <w:sz w:val="20"/>
                <w:szCs w:val="20"/>
              </w:rPr>
              <w:t>1</w:t>
            </w:r>
            <w:r w:rsidRPr="009441E2">
              <w:rPr>
                <w:rFonts w:eastAsia="Times New Roman"/>
                <w:b/>
                <w:sz w:val="20"/>
                <w:szCs w:val="20"/>
              </w:rPr>
              <w:t>/02/</w:t>
            </w:r>
            <w:r>
              <w:rPr>
                <w:rFonts w:eastAsia="Times New Roman"/>
                <w:b/>
                <w:sz w:val="20"/>
                <w:szCs w:val="20"/>
              </w:rPr>
              <w:t>B</w:t>
            </w:r>
            <w:r w:rsidRPr="009441E2">
              <w:rPr>
                <w:rFonts w:eastAsia="Times New Roman"/>
                <w:b/>
                <w:sz w:val="20"/>
                <w:szCs w:val="20"/>
              </w:rPr>
              <w:t>:</w:t>
            </w:r>
            <w:r>
              <w:rPr>
                <w:rFonts w:eastAsia="Times New Roman"/>
                <w:b/>
                <w:sz w:val="20"/>
                <w:szCs w:val="20"/>
              </w:rPr>
              <w:t xml:space="preserve">  Funded SAR SLAs</w:t>
            </w:r>
            <w:r w:rsidR="004D2FAF">
              <w:rPr>
                <w:rFonts w:eastAsia="Times New Roman"/>
                <w:b/>
                <w:sz w:val="20"/>
                <w:szCs w:val="20"/>
              </w:rPr>
              <w:t xml:space="preserve"> / </w:t>
            </w:r>
            <w:proofErr w:type="spellStart"/>
            <w:r w:rsidR="004D2FAF">
              <w:rPr>
                <w:rFonts w:eastAsia="Times New Roman"/>
                <w:b/>
                <w:sz w:val="20"/>
                <w:szCs w:val="20"/>
              </w:rPr>
              <w:t>MoUs</w:t>
            </w:r>
            <w:proofErr w:type="spellEnd"/>
          </w:p>
          <w:p w14:paraId="57409576" w14:textId="70FFC0F5" w:rsidR="00E62F26" w:rsidRPr="008A5A2F" w:rsidRDefault="00E62F26" w:rsidP="00A92280">
            <w:pPr>
              <w:pStyle w:val="BodyText"/>
              <w:spacing w:before="120" w:after="0"/>
              <w:rPr>
                <w:rFonts w:eastAsia="Times New Roman"/>
                <w:b/>
                <w:sz w:val="20"/>
                <w:szCs w:val="20"/>
              </w:rPr>
            </w:pPr>
            <w:r>
              <w:rPr>
                <w:rFonts w:eastAsia="Times New Roman"/>
                <w:sz w:val="20"/>
                <w:szCs w:val="20"/>
              </w:rPr>
              <w:t>S</w:t>
            </w:r>
            <w:r w:rsidRPr="00EB29AA">
              <w:rPr>
                <w:rFonts w:eastAsia="Times New Roman"/>
                <w:sz w:val="20"/>
                <w:szCs w:val="20"/>
              </w:rPr>
              <w:t xml:space="preserve">upport key SAR providing agencies </w:t>
            </w:r>
            <w:r>
              <w:rPr>
                <w:rFonts w:eastAsia="Times New Roman"/>
                <w:sz w:val="20"/>
                <w:szCs w:val="20"/>
              </w:rPr>
              <w:t>for the provision of effective SAR services with appropriately funded three-year Service Level Agreements</w:t>
            </w:r>
            <w:r w:rsidR="004D2FAF">
              <w:rPr>
                <w:rFonts w:eastAsia="Times New Roman"/>
                <w:sz w:val="20"/>
                <w:szCs w:val="20"/>
              </w:rPr>
              <w:t xml:space="preserve"> or </w:t>
            </w:r>
            <w:proofErr w:type="spellStart"/>
            <w:r w:rsidR="004D2FAF">
              <w:rPr>
                <w:rFonts w:eastAsia="Times New Roman"/>
                <w:sz w:val="20"/>
                <w:szCs w:val="20"/>
              </w:rPr>
              <w:t>MoUs</w:t>
            </w:r>
            <w:proofErr w:type="spellEnd"/>
            <w:r>
              <w:rPr>
                <w:rFonts w:eastAsia="Times New Roman"/>
                <w:sz w:val="20"/>
                <w:szCs w:val="20"/>
              </w:rPr>
              <w:t>.</w:t>
            </w:r>
          </w:p>
        </w:tc>
        <w:tc>
          <w:tcPr>
            <w:tcW w:w="709" w:type="dxa"/>
            <w:shd w:val="clear" w:color="auto" w:fill="00B050"/>
            <w:textDirection w:val="btLr"/>
            <w:vAlign w:val="center"/>
          </w:tcPr>
          <w:p w14:paraId="63B2AB21" w14:textId="77777777" w:rsidR="00E62F26" w:rsidRPr="004D2FAF" w:rsidRDefault="00E62F26" w:rsidP="00A92280">
            <w:pPr>
              <w:jc w:val="center"/>
              <w:rPr>
                <w:sz w:val="20"/>
              </w:rPr>
            </w:pPr>
            <w:r w:rsidRPr="004D2FAF">
              <w:rPr>
                <w:sz w:val="20"/>
              </w:rPr>
              <w:t>Full</w:t>
            </w:r>
          </w:p>
        </w:tc>
        <w:tc>
          <w:tcPr>
            <w:tcW w:w="709" w:type="dxa"/>
            <w:shd w:val="clear" w:color="auto" w:fill="00B050"/>
            <w:textDirection w:val="btLr"/>
            <w:vAlign w:val="center"/>
          </w:tcPr>
          <w:p w14:paraId="585BF3F8" w14:textId="77777777" w:rsidR="00E62F26" w:rsidRPr="000D0B38" w:rsidRDefault="00E62F26" w:rsidP="00A92280">
            <w:pPr>
              <w:ind w:left="113" w:right="113"/>
              <w:jc w:val="center"/>
              <w:rPr>
                <w:sz w:val="20"/>
                <w:szCs w:val="20"/>
              </w:rPr>
            </w:pPr>
            <w:r w:rsidRPr="004D2FAF">
              <w:rPr>
                <w:sz w:val="20"/>
                <w:szCs w:val="20"/>
              </w:rPr>
              <w:t>O</w:t>
            </w:r>
            <w:r w:rsidRPr="004D2FAF">
              <w:rPr>
                <w:sz w:val="20"/>
                <w:szCs w:val="20"/>
                <w:shd w:val="clear" w:color="auto" w:fill="00B050"/>
              </w:rPr>
              <w:t>ngoing</w:t>
            </w:r>
          </w:p>
        </w:tc>
        <w:tc>
          <w:tcPr>
            <w:tcW w:w="3402" w:type="dxa"/>
          </w:tcPr>
          <w:p w14:paraId="5AAB48E9" w14:textId="45E2693F" w:rsidR="00E62F26" w:rsidRPr="00A92280" w:rsidRDefault="004D2FAF" w:rsidP="00A92280">
            <w:pPr>
              <w:pStyle w:val="BodyText"/>
              <w:rPr>
                <w:rFonts w:eastAsia="Times New Roman"/>
                <w:sz w:val="20"/>
                <w:szCs w:val="20"/>
              </w:rPr>
            </w:pPr>
            <w:r>
              <w:rPr>
                <w:sz w:val="20"/>
              </w:rPr>
              <w:t xml:space="preserve">Five </w:t>
            </w:r>
            <w:r w:rsidR="00914194">
              <w:rPr>
                <w:sz w:val="20"/>
              </w:rPr>
              <w:t xml:space="preserve">x FED funded SAR </w:t>
            </w:r>
            <w:r>
              <w:rPr>
                <w:sz w:val="20"/>
              </w:rPr>
              <w:t>SLA</w:t>
            </w:r>
            <w:r w:rsidR="005C7D97">
              <w:rPr>
                <w:sz w:val="20"/>
              </w:rPr>
              <w:t xml:space="preserve">s in place with LSAR, CNZ, SLSNZ, AREC and MSC.  </w:t>
            </w:r>
            <w:r w:rsidR="00914194">
              <w:rPr>
                <w:sz w:val="20"/>
              </w:rPr>
              <w:t xml:space="preserve">2 x Water safety funded SLAs in place with CGNZ and SLSNZ. Funded SAR MOUs planned for </w:t>
            </w:r>
            <w:r w:rsidR="005C7D97">
              <w:rPr>
                <w:sz w:val="20"/>
              </w:rPr>
              <w:t>Police and D</w:t>
            </w:r>
            <w:r w:rsidR="002176BA">
              <w:rPr>
                <w:sz w:val="20"/>
              </w:rPr>
              <w:t>O</w:t>
            </w:r>
            <w:r w:rsidR="005C7D97">
              <w:rPr>
                <w:sz w:val="20"/>
              </w:rPr>
              <w:t>C.</w:t>
            </w:r>
          </w:p>
        </w:tc>
      </w:tr>
      <w:tr w:rsidR="00955915" w:rsidRPr="00286A2D" w14:paraId="501A206C" w14:textId="77777777" w:rsidTr="00DB648A">
        <w:trPr>
          <w:cantSplit/>
          <w:trHeight w:val="750"/>
        </w:trPr>
        <w:tc>
          <w:tcPr>
            <w:tcW w:w="984" w:type="dxa"/>
            <w:vMerge/>
            <w:tcBorders>
              <w:bottom w:val="single" w:sz="24" w:space="0" w:color="auto"/>
            </w:tcBorders>
          </w:tcPr>
          <w:p w14:paraId="6E88AA7A" w14:textId="77777777" w:rsidR="00E62F26" w:rsidRDefault="00E62F26" w:rsidP="00A92280">
            <w:pPr>
              <w:pStyle w:val="BodyText"/>
              <w:spacing w:before="120" w:after="0"/>
              <w:rPr>
                <w:rFonts w:eastAsia="Times New Roman"/>
                <w:sz w:val="20"/>
                <w:szCs w:val="20"/>
              </w:rPr>
            </w:pPr>
          </w:p>
        </w:tc>
        <w:tc>
          <w:tcPr>
            <w:tcW w:w="1560" w:type="dxa"/>
            <w:vMerge/>
            <w:tcBorders>
              <w:bottom w:val="single" w:sz="24" w:space="0" w:color="auto"/>
            </w:tcBorders>
          </w:tcPr>
          <w:p w14:paraId="0C00F4F2" w14:textId="77777777" w:rsidR="00E62F26" w:rsidRPr="00904DB1" w:rsidRDefault="00E62F26" w:rsidP="00A92280">
            <w:pPr>
              <w:pStyle w:val="BodyText"/>
              <w:spacing w:before="120" w:after="0"/>
              <w:rPr>
                <w:rFonts w:eastAsia="Times New Roman"/>
                <w:b/>
                <w:sz w:val="20"/>
                <w:szCs w:val="20"/>
              </w:rPr>
            </w:pPr>
          </w:p>
        </w:tc>
        <w:tc>
          <w:tcPr>
            <w:tcW w:w="4396" w:type="dxa"/>
            <w:vMerge/>
            <w:tcBorders>
              <w:bottom w:val="single" w:sz="24" w:space="0" w:color="auto"/>
            </w:tcBorders>
          </w:tcPr>
          <w:p w14:paraId="1BC1ADAD" w14:textId="77777777" w:rsidR="00E62F26" w:rsidRPr="0019480D" w:rsidRDefault="00E62F26" w:rsidP="00A92280">
            <w:pPr>
              <w:pStyle w:val="BodyText"/>
              <w:spacing w:before="120" w:after="0"/>
              <w:rPr>
                <w:rFonts w:eastAsia="Times New Roman"/>
                <w:sz w:val="20"/>
                <w:szCs w:val="20"/>
              </w:rPr>
            </w:pPr>
          </w:p>
        </w:tc>
        <w:tc>
          <w:tcPr>
            <w:tcW w:w="3691" w:type="dxa"/>
            <w:vMerge/>
            <w:tcBorders>
              <w:bottom w:val="single" w:sz="24" w:space="0" w:color="auto"/>
            </w:tcBorders>
          </w:tcPr>
          <w:p w14:paraId="70307D71" w14:textId="77777777" w:rsidR="00E62F26" w:rsidRPr="00286A2D" w:rsidRDefault="00E62F26" w:rsidP="00A92280">
            <w:pPr>
              <w:pStyle w:val="BodyText"/>
              <w:spacing w:before="120" w:after="0"/>
              <w:rPr>
                <w:rFonts w:eastAsia="Times New Roman"/>
                <w:sz w:val="20"/>
                <w:szCs w:val="20"/>
              </w:rPr>
            </w:pPr>
          </w:p>
        </w:tc>
        <w:tc>
          <w:tcPr>
            <w:tcW w:w="427" w:type="dxa"/>
            <w:vMerge/>
            <w:tcBorders>
              <w:bottom w:val="single" w:sz="24" w:space="0" w:color="auto"/>
            </w:tcBorders>
            <w:textDirection w:val="btLr"/>
            <w:vAlign w:val="center"/>
          </w:tcPr>
          <w:p w14:paraId="0F494FB7" w14:textId="77777777" w:rsidR="00E62F26" w:rsidRDefault="00E62F26" w:rsidP="00A92280">
            <w:pPr>
              <w:pStyle w:val="Heading2"/>
              <w:spacing w:before="120" w:line="360" w:lineRule="auto"/>
              <w:ind w:left="113" w:right="113"/>
              <w:jc w:val="center"/>
              <w:outlineLvl w:val="1"/>
              <w:rPr>
                <w:b w:val="0"/>
                <w:color w:val="auto"/>
                <w:sz w:val="20"/>
              </w:rPr>
            </w:pPr>
          </w:p>
        </w:tc>
        <w:tc>
          <w:tcPr>
            <w:tcW w:w="428" w:type="dxa"/>
            <w:vMerge/>
            <w:tcBorders>
              <w:bottom w:val="single" w:sz="24" w:space="0" w:color="auto"/>
            </w:tcBorders>
            <w:textDirection w:val="btLr"/>
            <w:vAlign w:val="center"/>
          </w:tcPr>
          <w:p w14:paraId="0A83D61B" w14:textId="77777777" w:rsidR="00E62F26" w:rsidRDefault="00E62F26" w:rsidP="00A92280">
            <w:pPr>
              <w:pStyle w:val="Heading2"/>
              <w:spacing w:before="120" w:line="360" w:lineRule="auto"/>
              <w:ind w:left="113" w:right="113"/>
              <w:jc w:val="center"/>
              <w:outlineLvl w:val="1"/>
              <w:rPr>
                <w:b w:val="0"/>
                <w:color w:val="auto"/>
                <w:sz w:val="20"/>
              </w:rPr>
            </w:pPr>
          </w:p>
        </w:tc>
        <w:tc>
          <w:tcPr>
            <w:tcW w:w="706" w:type="dxa"/>
            <w:vMerge/>
            <w:tcBorders>
              <w:bottom w:val="single" w:sz="24" w:space="0" w:color="auto"/>
            </w:tcBorders>
            <w:shd w:val="clear" w:color="auto" w:fill="FFFF00"/>
            <w:textDirection w:val="btLr"/>
            <w:vAlign w:val="center"/>
          </w:tcPr>
          <w:p w14:paraId="7EB98D3E" w14:textId="77777777" w:rsidR="00E62F26" w:rsidRDefault="00E62F26" w:rsidP="00A92280">
            <w:pPr>
              <w:jc w:val="center"/>
              <w:rPr>
                <w:b/>
                <w:sz w:val="20"/>
              </w:rPr>
            </w:pPr>
          </w:p>
        </w:tc>
        <w:tc>
          <w:tcPr>
            <w:tcW w:w="5385" w:type="dxa"/>
            <w:tcBorders>
              <w:bottom w:val="single" w:sz="24" w:space="0" w:color="auto"/>
            </w:tcBorders>
          </w:tcPr>
          <w:p w14:paraId="2F6C6FA5" w14:textId="13DE5B11" w:rsidR="00E62F26" w:rsidRPr="00E0317D" w:rsidRDefault="00E62F26" w:rsidP="005C7D97">
            <w:pPr>
              <w:pStyle w:val="BodyText"/>
              <w:spacing w:before="120" w:after="0"/>
              <w:rPr>
                <w:rFonts w:eastAsia="Times New Roman"/>
                <w:color w:val="000000" w:themeColor="text1"/>
                <w:sz w:val="20"/>
                <w:szCs w:val="20"/>
              </w:rPr>
            </w:pPr>
            <w:r w:rsidRPr="00E0317D">
              <w:rPr>
                <w:rFonts w:eastAsia="Times New Roman"/>
                <w:b/>
                <w:color w:val="000000" w:themeColor="text1"/>
                <w:sz w:val="20"/>
                <w:szCs w:val="20"/>
              </w:rPr>
              <w:t xml:space="preserve">Risk treatment </w:t>
            </w:r>
            <w:r>
              <w:rPr>
                <w:rFonts w:eastAsia="Times New Roman"/>
                <w:b/>
                <w:color w:val="000000" w:themeColor="text1"/>
                <w:sz w:val="20"/>
                <w:szCs w:val="20"/>
              </w:rPr>
              <w:t>202</w:t>
            </w:r>
            <w:r w:rsidR="0093342E">
              <w:rPr>
                <w:rFonts w:eastAsia="Times New Roman"/>
                <w:b/>
                <w:color w:val="000000" w:themeColor="text1"/>
                <w:sz w:val="20"/>
                <w:szCs w:val="20"/>
              </w:rPr>
              <w:t>1</w:t>
            </w:r>
            <w:r w:rsidRPr="00E0317D">
              <w:rPr>
                <w:rFonts w:eastAsia="Times New Roman"/>
                <w:b/>
                <w:color w:val="000000" w:themeColor="text1"/>
                <w:sz w:val="20"/>
                <w:szCs w:val="20"/>
              </w:rPr>
              <w:t>/02/C:  Monitor and Report</w:t>
            </w:r>
            <w:r w:rsidRPr="00E0317D">
              <w:rPr>
                <w:rFonts w:eastAsia="Times New Roman"/>
                <w:color w:val="000000" w:themeColor="text1"/>
                <w:sz w:val="20"/>
                <w:szCs w:val="20"/>
              </w:rPr>
              <w:t xml:space="preserve"> </w:t>
            </w:r>
          </w:p>
          <w:p w14:paraId="6E03EAF9" w14:textId="4058A2AF" w:rsidR="00E62F26" w:rsidRPr="008A5A2F" w:rsidRDefault="005C7D97" w:rsidP="00A92280">
            <w:pPr>
              <w:pStyle w:val="BodyText"/>
              <w:spacing w:before="120" w:after="0"/>
              <w:rPr>
                <w:rFonts w:eastAsia="Times New Roman"/>
                <w:b/>
                <w:sz w:val="20"/>
                <w:szCs w:val="20"/>
              </w:rPr>
            </w:pPr>
            <w:r w:rsidRPr="002D6CCE">
              <w:rPr>
                <w:rFonts w:eastAsia="Times New Roman"/>
                <w:sz w:val="20"/>
                <w:szCs w:val="20"/>
              </w:rPr>
              <w:t xml:space="preserve">Maintain </w:t>
            </w:r>
            <w:r>
              <w:rPr>
                <w:rFonts w:eastAsia="Times New Roman"/>
                <w:sz w:val="20"/>
                <w:szCs w:val="20"/>
              </w:rPr>
              <w:t xml:space="preserve">an overall picture of SAR sector funding.  </w:t>
            </w:r>
            <w:r w:rsidR="00E62F26" w:rsidRPr="00E0317D">
              <w:rPr>
                <w:rFonts w:eastAsia="Times New Roman"/>
                <w:color w:val="000000" w:themeColor="text1"/>
                <w:sz w:val="20"/>
                <w:szCs w:val="20"/>
              </w:rPr>
              <w:t>Monitor sector capabilities and outputs and report on observed manifestations of funding sufficiency / volatility related changes to capabilities or outputs.</w:t>
            </w:r>
          </w:p>
        </w:tc>
        <w:tc>
          <w:tcPr>
            <w:tcW w:w="709" w:type="dxa"/>
            <w:tcBorders>
              <w:bottom w:val="single" w:sz="24" w:space="0" w:color="auto"/>
            </w:tcBorders>
            <w:shd w:val="clear" w:color="auto" w:fill="FFFF00"/>
            <w:textDirection w:val="btLr"/>
            <w:vAlign w:val="center"/>
          </w:tcPr>
          <w:p w14:paraId="275A5116" w14:textId="77777777" w:rsidR="00E62F26" w:rsidRPr="004D2FAF" w:rsidRDefault="00E62F26" w:rsidP="00A92280">
            <w:pPr>
              <w:jc w:val="center"/>
              <w:rPr>
                <w:sz w:val="20"/>
              </w:rPr>
            </w:pPr>
            <w:r w:rsidRPr="004D2FAF">
              <w:rPr>
                <w:sz w:val="20"/>
              </w:rPr>
              <w:t>Partial</w:t>
            </w:r>
          </w:p>
        </w:tc>
        <w:tc>
          <w:tcPr>
            <w:tcW w:w="709" w:type="dxa"/>
            <w:tcBorders>
              <w:bottom w:val="single" w:sz="24" w:space="0" w:color="auto"/>
            </w:tcBorders>
            <w:shd w:val="clear" w:color="auto" w:fill="00B050"/>
            <w:textDirection w:val="btLr"/>
            <w:vAlign w:val="center"/>
          </w:tcPr>
          <w:p w14:paraId="4EE591EE" w14:textId="19393769" w:rsidR="00E62F26" w:rsidRPr="000D0B38" w:rsidRDefault="005C7D97" w:rsidP="00A92280">
            <w:pPr>
              <w:ind w:left="113" w:right="113"/>
              <w:jc w:val="center"/>
              <w:rPr>
                <w:sz w:val="20"/>
                <w:szCs w:val="20"/>
              </w:rPr>
            </w:pPr>
            <w:r>
              <w:rPr>
                <w:sz w:val="20"/>
                <w:szCs w:val="20"/>
              </w:rPr>
              <w:t>2021</w:t>
            </w:r>
          </w:p>
        </w:tc>
        <w:tc>
          <w:tcPr>
            <w:tcW w:w="3402" w:type="dxa"/>
            <w:tcBorders>
              <w:bottom w:val="single" w:sz="24" w:space="0" w:color="auto"/>
            </w:tcBorders>
          </w:tcPr>
          <w:p w14:paraId="581C489A" w14:textId="5AF7AA7F" w:rsidR="00E62F26" w:rsidRDefault="005C7D97" w:rsidP="00A92280">
            <w:pPr>
              <w:pStyle w:val="BodyText"/>
              <w:rPr>
                <w:rFonts w:eastAsia="Times New Roman"/>
                <w:sz w:val="20"/>
                <w:szCs w:val="20"/>
              </w:rPr>
            </w:pPr>
            <w:r>
              <w:rPr>
                <w:rFonts w:eastAsia="Times New Roman"/>
                <w:sz w:val="20"/>
                <w:szCs w:val="20"/>
              </w:rPr>
              <w:t>Differences in agency collation and reporting make discerning a unified funding picture difficult.  New reporting requirements planed for next SLA’s / MoU’s to enhance understanding.</w:t>
            </w:r>
          </w:p>
        </w:tc>
      </w:tr>
      <w:tr w:rsidR="003C5564" w:rsidRPr="009441E2" w14:paraId="7032994E" w14:textId="77777777" w:rsidTr="00DB648A">
        <w:trPr>
          <w:cantSplit/>
          <w:trHeight w:val="1976"/>
        </w:trPr>
        <w:tc>
          <w:tcPr>
            <w:tcW w:w="984" w:type="dxa"/>
            <w:vMerge w:val="restart"/>
            <w:tcBorders>
              <w:top w:val="single" w:sz="24" w:space="0" w:color="auto"/>
            </w:tcBorders>
          </w:tcPr>
          <w:p w14:paraId="03745B12" w14:textId="5CF335A3" w:rsidR="003C5564" w:rsidRDefault="003C5564" w:rsidP="00A92280">
            <w:pPr>
              <w:pStyle w:val="BodyText"/>
              <w:spacing w:before="120" w:after="0"/>
              <w:rPr>
                <w:rFonts w:eastAsia="Times New Roman"/>
                <w:sz w:val="20"/>
                <w:szCs w:val="20"/>
              </w:rPr>
            </w:pPr>
            <w:r>
              <w:rPr>
                <w:rFonts w:eastAsia="Times New Roman"/>
                <w:sz w:val="20"/>
                <w:szCs w:val="20"/>
              </w:rPr>
              <w:t>202</w:t>
            </w:r>
            <w:r w:rsidR="0093342E">
              <w:rPr>
                <w:rFonts w:eastAsia="Times New Roman"/>
                <w:sz w:val="20"/>
                <w:szCs w:val="20"/>
              </w:rPr>
              <w:t>1</w:t>
            </w:r>
            <w:r>
              <w:rPr>
                <w:rFonts w:eastAsia="Times New Roman"/>
                <w:sz w:val="20"/>
                <w:szCs w:val="20"/>
              </w:rPr>
              <w:t>/03</w:t>
            </w:r>
          </w:p>
        </w:tc>
        <w:tc>
          <w:tcPr>
            <w:tcW w:w="1560" w:type="dxa"/>
            <w:vMerge w:val="restart"/>
            <w:tcBorders>
              <w:top w:val="single" w:sz="24" w:space="0" w:color="auto"/>
            </w:tcBorders>
          </w:tcPr>
          <w:p w14:paraId="21D66F2C" w14:textId="0C2AD85F" w:rsidR="003C5564" w:rsidRPr="00835279" w:rsidRDefault="003C5564" w:rsidP="00A92280">
            <w:pPr>
              <w:pStyle w:val="BodyText"/>
              <w:spacing w:before="120" w:after="0"/>
              <w:rPr>
                <w:rFonts w:eastAsia="Times New Roman"/>
                <w:b/>
                <w:sz w:val="20"/>
                <w:szCs w:val="20"/>
              </w:rPr>
            </w:pPr>
            <w:r>
              <w:rPr>
                <w:rFonts w:eastAsia="Times New Roman"/>
                <w:b/>
                <w:sz w:val="20"/>
                <w:szCs w:val="20"/>
              </w:rPr>
              <w:t xml:space="preserve">Health, Safety and </w:t>
            </w:r>
            <w:r w:rsidRPr="00835279">
              <w:rPr>
                <w:rFonts w:eastAsia="Times New Roman"/>
                <w:b/>
                <w:sz w:val="20"/>
                <w:szCs w:val="20"/>
              </w:rPr>
              <w:t xml:space="preserve">Wellbeing </w:t>
            </w:r>
          </w:p>
          <w:p w14:paraId="4BBC1922" w14:textId="77777777" w:rsidR="003C5564" w:rsidRPr="00835279" w:rsidRDefault="003C5564" w:rsidP="00A92280">
            <w:pPr>
              <w:pStyle w:val="BodyText"/>
              <w:spacing w:before="120" w:after="0"/>
              <w:rPr>
                <w:rFonts w:eastAsia="Times New Roman"/>
                <w:sz w:val="20"/>
                <w:szCs w:val="20"/>
              </w:rPr>
            </w:pPr>
            <w:r w:rsidRPr="00835279">
              <w:rPr>
                <w:rFonts w:eastAsia="Times New Roman"/>
                <w:sz w:val="20"/>
                <w:szCs w:val="20"/>
              </w:rPr>
              <w:t xml:space="preserve">Incident of avoidable harm to one or more SAR persons occurs. </w:t>
            </w:r>
          </w:p>
          <w:p w14:paraId="6F8F575B" w14:textId="77777777" w:rsidR="003C5564" w:rsidRPr="00835279" w:rsidRDefault="003C5564" w:rsidP="00A92280">
            <w:pPr>
              <w:pStyle w:val="BodyText"/>
              <w:spacing w:before="120" w:after="0"/>
              <w:rPr>
                <w:rFonts w:eastAsia="Times New Roman"/>
                <w:sz w:val="20"/>
                <w:szCs w:val="20"/>
              </w:rPr>
            </w:pPr>
          </w:p>
          <w:p w14:paraId="3BC221D4" w14:textId="77777777" w:rsidR="003C5564" w:rsidRPr="00835279" w:rsidRDefault="003C5564" w:rsidP="00A92280">
            <w:pPr>
              <w:pStyle w:val="BodyText"/>
              <w:spacing w:before="120" w:after="0"/>
              <w:rPr>
                <w:rFonts w:eastAsia="Times New Roman"/>
                <w:sz w:val="20"/>
                <w:szCs w:val="20"/>
              </w:rPr>
            </w:pPr>
          </w:p>
          <w:p w14:paraId="765DD534" w14:textId="77777777" w:rsidR="003C5564" w:rsidRPr="00835279" w:rsidRDefault="003C5564" w:rsidP="00A92280">
            <w:pPr>
              <w:pStyle w:val="BodyText"/>
              <w:spacing w:before="120" w:after="0"/>
              <w:rPr>
                <w:rFonts w:eastAsia="Times New Roman"/>
                <w:sz w:val="20"/>
                <w:szCs w:val="20"/>
              </w:rPr>
            </w:pPr>
          </w:p>
          <w:p w14:paraId="3A73B637" w14:textId="21989A22" w:rsidR="003C5564" w:rsidRPr="00C0092E" w:rsidRDefault="003C5564" w:rsidP="00A92280">
            <w:pPr>
              <w:pStyle w:val="BodyText"/>
              <w:spacing w:before="120" w:after="0"/>
              <w:rPr>
                <w:rFonts w:eastAsia="Times New Roman"/>
                <w:sz w:val="20"/>
                <w:szCs w:val="20"/>
              </w:rPr>
            </w:pPr>
            <w:r w:rsidRPr="00835279">
              <w:rPr>
                <w:rFonts w:eastAsia="Times New Roman"/>
                <w:sz w:val="20"/>
                <w:szCs w:val="20"/>
              </w:rPr>
              <w:t xml:space="preserve">No (or poor) wellbeing support   is made available for SAR people in support of their mental </w:t>
            </w:r>
            <w:r w:rsidRPr="003C5564">
              <w:rPr>
                <w:rFonts w:eastAsia="Times New Roman"/>
                <w:sz w:val="20"/>
                <w:szCs w:val="20"/>
              </w:rPr>
              <w:t>health.</w:t>
            </w:r>
          </w:p>
        </w:tc>
        <w:tc>
          <w:tcPr>
            <w:tcW w:w="4396" w:type="dxa"/>
            <w:tcBorders>
              <w:top w:val="single" w:sz="24" w:space="0" w:color="auto"/>
            </w:tcBorders>
          </w:tcPr>
          <w:p w14:paraId="2BD434DD" w14:textId="01FAEA63" w:rsidR="003C5564" w:rsidRPr="0094380F" w:rsidRDefault="00292DD8" w:rsidP="00A92280">
            <w:pPr>
              <w:pStyle w:val="BodyText"/>
              <w:spacing w:before="120" w:after="0"/>
              <w:rPr>
                <w:color w:val="000000" w:themeColor="text1"/>
                <w:sz w:val="20"/>
              </w:rPr>
            </w:pPr>
            <w:r w:rsidRPr="0094380F">
              <w:rPr>
                <w:rFonts w:eastAsia="Times New Roman"/>
                <w:color w:val="000000" w:themeColor="text1"/>
                <w:sz w:val="20"/>
                <w:szCs w:val="20"/>
              </w:rPr>
              <w:t xml:space="preserve">Effective and consistent </w:t>
            </w:r>
            <w:r w:rsidR="008C2AA6" w:rsidRPr="0094380F">
              <w:rPr>
                <w:rFonts w:eastAsia="Times New Roman"/>
                <w:color w:val="000000" w:themeColor="text1"/>
                <w:sz w:val="20"/>
                <w:szCs w:val="20"/>
              </w:rPr>
              <w:t>application of t</w:t>
            </w:r>
            <w:r w:rsidRPr="0094380F">
              <w:rPr>
                <w:rFonts w:eastAsia="Times New Roman"/>
                <w:color w:val="000000" w:themeColor="text1"/>
                <w:sz w:val="20"/>
                <w:szCs w:val="20"/>
              </w:rPr>
              <w:t>he Health and Safety at Work Act 2015 (HSWA 15) challenge</w:t>
            </w:r>
            <w:r w:rsidR="008C2AA6" w:rsidRPr="0094380F">
              <w:rPr>
                <w:rFonts w:eastAsia="Times New Roman"/>
                <w:color w:val="000000" w:themeColor="text1"/>
                <w:sz w:val="20"/>
                <w:szCs w:val="20"/>
              </w:rPr>
              <w:t>s</w:t>
            </w:r>
            <w:r w:rsidRPr="0094380F">
              <w:rPr>
                <w:rFonts w:eastAsia="Times New Roman"/>
                <w:color w:val="000000" w:themeColor="text1"/>
                <w:sz w:val="20"/>
                <w:szCs w:val="20"/>
              </w:rPr>
              <w:t xml:space="preserve"> the search and rescue sector.  Being a relatively new Act, little relevant precedence exits</w:t>
            </w:r>
            <w:r w:rsidR="0094380F">
              <w:rPr>
                <w:rFonts w:eastAsia="Times New Roman"/>
                <w:color w:val="000000" w:themeColor="text1"/>
                <w:sz w:val="20"/>
                <w:szCs w:val="20"/>
              </w:rPr>
              <w:t>.</w:t>
            </w:r>
          </w:p>
        </w:tc>
        <w:tc>
          <w:tcPr>
            <w:tcW w:w="3691" w:type="dxa"/>
            <w:vMerge w:val="restart"/>
            <w:tcBorders>
              <w:top w:val="single" w:sz="24" w:space="0" w:color="auto"/>
            </w:tcBorders>
          </w:tcPr>
          <w:p w14:paraId="2C64D702" w14:textId="067ABD0B" w:rsidR="003C5564" w:rsidRDefault="003C5564" w:rsidP="00A92280">
            <w:pPr>
              <w:pStyle w:val="BodyText"/>
              <w:spacing w:before="120" w:after="0"/>
              <w:rPr>
                <w:rFonts w:eastAsia="Times New Roman"/>
                <w:sz w:val="20"/>
                <w:szCs w:val="20"/>
              </w:rPr>
            </w:pPr>
            <w:r>
              <w:rPr>
                <w:rFonts w:eastAsia="Times New Roman"/>
                <w:sz w:val="20"/>
                <w:szCs w:val="20"/>
              </w:rPr>
              <w:t xml:space="preserve">SAR organisations, team and individuals fail to implement appropriate / necessary </w:t>
            </w:r>
            <w:r w:rsidR="001109B4">
              <w:rPr>
                <w:rFonts w:eastAsia="Times New Roman"/>
                <w:sz w:val="20"/>
                <w:szCs w:val="20"/>
              </w:rPr>
              <w:t xml:space="preserve">HSW </w:t>
            </w:r>
            <w:r>
              <w:rPr>
                <w:rFonts w:eastAsia="Times New Roman"/>
                <w:sz w:val="20"/>
                <w:szCs w:val="20"/>
              </w:rPr>
              <w:t xml:space="preserve">processes and procedures.  An avoidable </w:t>
            </w:r>
            <w:r w:rsidR="006071C2">
              <w:rPr>
                <w:rFonts w:eastAsia="Times New Roman"/>
                <w:sz w:val="20"/>
                <w:szCs w:val="20"/>
              </w:rPr>
              <w:t xml:space="preserve">physical or mental </w:t>
            </w:r>
            <w:r>
              <w:rPr>
                <w:rFonts w:eastAsia="Times New Roman"/>
                <w:sz w:val="20"/>
                <w:szCs w:val="20"/>
              </w:rPr>
              <w:t xml:space="preserve">harm situation results. Audit or investigation detect and report on seriously deficient </w:t>
            </w:r>
            <w:r w:rsidR="001109B4">
              <w:rPr>
                <w:rFonts w:eastAsia="Times New Roman"/>
                <w:sz w:val="20"/>
                <w:szCs w:val="20"/>
              </w:rPr>
              <w:t xml:space="preserve">HSW </w:t>
            </w:r>
            <w:r>
              <w:rPr>
                <w:rFonts w:eastAsia="Times New Roman"/>
                <w:sz w:val="20"/>
                <w:szCs w:val="20"/>
              </w:rPr>
              <w:t xml:space="preserve">arrangements.  </w:t>
            </w:r>
          </w:p>
          <w:p w14:paraId="33992997" w14:textId="050C5FC4" w:rsidR="003C5564" w:rsidRDefault="003C5564" w:rsidP="00A92280">
            <w:pPr>
              <w:pStyle w:val="BodyText"/>
              <w:spacing w:before="120" w:after="0"/>
              <w:rPr>
                <w:rFonts w:eastAsia="Times New Roman"/>
                <w:sz w:val="20"/>
                <w:szCs w:val="20"/>
              </w:rPr>
            </w:pPr>
            <w:r>
              <w:rPr>
                <w:rFonts w:eastAsia="Times New Roman"/>
                <w:sz w:val="20"/>
                <w:szCs w:val="20"/>
              </w:rPr>
              <w:t>The sector may:</w:t>
            </w:r>
          </w:p>
          <w:p w14:paraId="15DD52BC" w14:textId="704C5BE8" w:rsidR="003C5564" w:rsidRDefault="00423508" w:rsidP="00A92280">
            <w:pPr>
              <w:pStyle w:val="BodyText"/>
              <w:numPr>
                <w:ilvl w:val="0"/>
                <w:numId w:val="20"/>
              </w:numPr>
              <w:spacing w:before="60" w:after="0"/>
              <w:ind w:left="351" w:hanging="351"/>
              <w:rPr>
                <w:rFonts w:eastAsia="Times New Roman"/>
                <w:sz w:val="20"/>
                <w:szCs w:val="20"/>
              </w:rPr>
            </w:pPr>
            <w:r>
              <w:rPr>
                <w:rFonts w:eastAsia="Times New Roman"/>
                <w:sz w:val="20"/>
                <w:szCs w:val="20"/>
              </w:rPr>
              <w:t>be e</w:t>
            </w:r>
            <w:r w:rsidR="003C5564">
              <w:rPr>
                <w:rFonts w:eastAsia="Times New Roman"/>
                <w:sz w:val="20"/>
                <w:szCs w:val="20"/>
              </w:rPr>
              <w:t xml:space="preserve">xposed to risk of prosecution. Audit </w:t>
            </w:r>
            <w:r w:rsidR="001109B4">
              <w:rPr>
                <w:rFonts w:eastAsia="Times New Roman"/>
                <w:sz w:val="20"/>
                <w:szCs w:val="20"/>
              </w:rPr>
              <w:t xml:space="preserve">or investigation </w:t>
            </w:r>
            <w:r w:rsidR="003C5564">
              <w:rPr>
                <w:rFonts w:eastAsia="Times New Roman"/>
                <w:sz w:val="20"/>
                <w:szCs w:val="20"/>
              </w:rPr>
              <w:t>exposes SAR sector health</w:t>
            </w:r>
            <w:r w:rsidR="006071C2">
              <w:rPr>
                <w:rFonts w:eastAsia="Times New Roman"/>
                <w:sz w:val="20"/>
                <w:szCs w:val="20"/>
              </w:rPr>
              <w:t xml:space="preserve">, </w:t>
            </w:r>
            <w:proofErr w:type="gramStart"/>
            <w:r w:rsidR="003C5564">
              <w:rPr>
                <w:rFonts w:eastAsia="Times New Roman"/>
                <w:sz w:val="20"/>
                <w:szCs w:val="20"/>
              </w:rPr>
              <w:t>safety</w:t>
            </w:r>
            <w:proofErr w:type="gramEnd"/>
            <w:r w:rsidR="006071C2">
              <w:rPr>
                <w:rFonts w:eastAsia="Times New Roman"/>
                <w:sz w:val="20"/>
                <w:szCs w:val="20"/>
              </w:rPr>
              <w:t xml:space="preserve"> and wellbeing</w:t>
            </w:r>
            <w:r w:rsidR="003C5564">
              <w:rPr>
                <w:rFonts w:eastAsia="Times New Roman"/>
                <w:sz w:val="20"/>
                <w:szCs w:val="20"/>
              </w:rPr>
              <w:t xml:space="preserve"> deficiencies.</w:t>
            </w:r>
          </w:p>
          <w:p w14:paraId="66BBB7B5" w14:textId="539D36A0" w:rsidR="003C5564" w:rsidRDefault="00423508" w:rsidP="00A92280">
            <w:pPr>
              <w:pStyle w:val="BodyText"/>
              <w:numPr>
                <w:ilvl w:val="0"/>
                <w:numId w:val="20"/>
              </w:numPr>
              <w:spacing w:before="60" w:after="0"/>
              <w:ind w:left="351" w:hanging="351"/>
              <w:rPr>
                <w:rFonts w:eastAsia="Times New Roman"/>
                <w:sz w:val="20"/>
                <w:szCs w:val="20"/>
              </w:rPr>
            </w:pPr>
            <w:r>
              <w:rPr>
                <w:rFonts w:eastAsia="Times New Roman"/>
                <w:sz w:val="20"/>
                <w:szCs w:val="20"/>
              </w:rPr>
              <w:t>s</w:t>
            </w:r>
            <w:r w:rsidR="003C5564">
              <w:rPr>
                <w:rFonts w:eastAsia="Times New Roman"/>
                <w:sz w:val="20"/>
                <w:szCs w:val="20"/>
              </w:rPr>
              <w:t>uffer reputational damage.</w:t>
            </w:r>
          </w:p>
          <w:p w14:paraId="4A838A8C" w14:textId="09E21498" w:rsidR="003C5564" w:rsidRDefault="00423508" w:rsidP="00A92280">
            <w:pPr>
              <w:pStyle w:val="BodyText"/>
              <w:numPr>
                <w:ilvl w:val="0"/>
                <w:numId w:val="20"/>
              </w:numPr>
              <w:spacing w:before="60" w:after="0"/>
              <w:ind w:left="351" w:hanging="351"/>
              <w:rPr>
                <w:rFonts w:eastAsia="Times New Roman"/>
                <w:sz w:val="20"/>
                <w:szCs w:val="20"/>
              </w:rPr>
            </w:pPr>
            <w:r>
              <w:rPr>
                <w:rFonts w:eastAsia="Times New Roman"/>
                <w:sz w:val="20"/>
                <w:szCs w:val="20"/>
              </w:rPr>
              <w:t>ex</w:t>
            </w:r>
            <w:r w:rsidR="003C5564">
              <w:rPr>
                <w:rFonts w:eastAsia="Times New Roman"/>
                <w:sz w:val="20"/>
                <w:szCs w:val="20"/>
              </w:rPr>
              <w:t>perience an outflow of personnel due to perceived risk.</w:t>
            </w:r>
          </w:p>
          <w:p w14:paraId="3366F700" w14:textId="7729B956" w:rsidR="003C5564" w:rsidRDefault="00423508" w:rsidP="00A92280">
            <w:pPr>
              <w:pStyle w:val="BodyText"/>
              <w:numPr>
                <w:ilvl w:val="0"/>
                <w:numId w:val="20"/>
              </w:numPr>
              <w:spacing w:before="60" w:after="0"/>
              <w:ind w:left="351" w:hanging="351"/>
              <w:rPr>
                <w:rFonts w:eastAsia="Times New Roman"/>
                <w:sz w:val="20"/>
                <w:szCs w:val="20"/>
              </w:rPr>
            </w:pPr>
            <w:r>
              <w:rPr>
                <w:rFonts w:eastAsia="Times New Roman"/>
                <w:sz w:val="20"/>
                <w:szCs w:val="20"/>
              </w:rPr>
              <w:t>e</w:t>
            </w:r>
            <w:r w:rsidR="003C5564">
              <w:rPr>
                <w:rFonts w:eastAsia="Times New Roman"/>
                <w:sz w:val="20"/>
                <w:szCs w:val="20"/>
              </w:rPr>
              <w:t>xperience an outflow of personnel due to excessive H&amp;S process requirements.</w:t>
            </w:r>
          </w:p>
          <w:p w14:paraId="1161F107" w14:textId="4C2ABDBD" w:rsidR="006071C2" w:rsidRDefault="003C5564" w:rsidP="00A92280">
            <w:pPr>
              <w:pStyle w:val="BodyText"/>
              <w:numPr>
                <w:ilvl w:val="0"/>
                <w:numId w:val="20"/>
              </w:numPr>
              <w:spacing w:before="60" w:after="0"/>
              <w:ind w:left="351" w:hanging="351"/>
              <w:rPr>
                <w:rFonts w:eastAsia="Times New Roman"/>
                <w:sz w:val="20"/>
                <w:szCs w:val="20"/>
              </w:rPr>
            </w:pPr>
            <w:r>
              <w:rPr>
                <w:rFonts w:eastAsia="Times New Roman"/>
                <w:sz w:val="20"/>
                <w:szCs w:val="20"/>
              </w:rPr>
              <w:t xml:space="preserve">expect significant external pressure / investigation / regulation / over watch following the trigger event. </w:t>
            </w:r>
          </w:p>
          <w:p w14:paraId="0E44F57B" w14:textId="14F67393" w:rsidR="00423508" w:rsidRDefault="00423508" w:rsidP="00A92280">
            <w:pPr>
              <w:pStyle w:val="BodyText"/>
              <w:numPr>
                <w:ilvl w:val="0"/>
                <w:numId w:val="20"/>
              </w:numPr>
              <w:spacing w:before="60" w:after="0"/>
              <w:ind w:left="351" w:hanging="351"/>
              <w:rPr>
                <w:rFonts w:eastAsia="Times New Roman"/>
                <w:sz w:val="20"/>
                <w:szCs w:val="20"/>
              </w:rPr>
            </w:pPr>
            <w:r>
              <w:rPr>
                <w:rFonts w:eastAsia="Times New Roman"/>
                <w:sz w:val="20"/>
                <w:szCs w:val="20"/>
              </w:rPr>
              <w:t>allow SAR people to suffer avoidable mental trauma,</w:t>
            </w:r>
          </w:p>
          <w:p w14:paraId="07A73F03" w14:textId="77777777" w:rsidR="003C5564" w:rsidRDefault="00423508" w:rsidP="00A92280">
            <w:pPr>
              <w:pStyle w:val="BodyText"/>
              <w:numPr>
                <w:ilvl w:val="0"/>
                <w:numId w:val="20"/>
              </w:numPr>
              <w:spacing w:before="60" w:after="0"/>
              <w:ind w:left="351" w:hanging="351"/>
              <w:rPr>
                <w:rFonts w:eastAsia="Times New Roman"/>
                <w:sz w:val="20"/>
                <w:szCs w:val="20"/>
              </w:rPr>
            </w:pPr>
            <w:r>
              <w:rPr>
                <w:rFonts w:eastAsia="Times New Roman"/>
                <w:sz w:val="20"/>
                <w:szCs w:val="20"/>
              </w:rPr>
              <w:t xml:space="preserve">be criticised by SAR people and/or publicly for inadequate wellbeing support.  </w:t>
            </w:r>
            <w:r w:rsidR="006071C2">
              <w:rPr>
                <w:rFonts w:eastAsia="Times New Roman"/>
                <w:sz w:val="20"/>
                <w:szCs w:val="20"/>
              </w:rPr>
              <w:t xml:space="preserve"> </w:t>
            </w:r>
            <w:r w:rsidR="003C5564">
              <w:rPr>
                <w:rFonts w:eastAsia="Times New Roman"/>
                <w:sz w:val="20"/>
                <w:szCs w:val="20"/>
              </w:rPr>
              <w:t xml:space="preserve"> </w:t>
            </w:r>
          </w:p>
          <w:p w14:paraId="101E822F" w14:textId="16103AAA" w:rsidR="0093342E" w:rsidRPr="0093342E" w:rsidRDefault="0093342E" w:rsidP="0093342E">
            <w:pPr>
              <w:jc w:val="right"/>
            </w:pPr>
          </w:p>
        </w:tc>
        <w:tc>
          <w:tcPr>
            <w:tcW w:w="427" w:type="dxa"/>
            <w:tcBorders>
              <w:top w:val="single" w:sz="24" w:space="0" w:color="auto"/>
            </w:tcBorders>
            <w:textDirection w:val="btLr"/>
            <w:vAlign w:val="center"/>
          </w:tcPr>
          <w:p w14:paraId="7D750DFA" w14:textId="77777777" w:rsidR="003C5564" w:rsidRPr="003C5564" w:rsidRDefault="003C5564" w:rsidP="003C5564">
            <w:pPr>
              <w:pStyle w:val="Heading2"/>
              <w:spacing w:before="120" w:line="360" w:lineRule="auto"/>
              <w:ind w:left="113" w:right="113"/>
              <w:jc w:val="center"/>
              <w:outlineLvl w:val="1"/>
              <w:rPr>
                <w:b w:val="0"/>
                <w:color w:val="auto"/>
                <w:sz w:val="20"/>
              </w:rPr>
            </w:pPr>
            <w:r w:rsidRPr="003C5564">
              <w:rPr>
                <w:b w:val="0"/>
                <w:color w:val="auto"/>
                <w:sz w:val="20"/>
              </w:rPr>
              <w:t>Unlikely</w:t>
            </w:r>
          </w:p>
        </w:tc>
        <w:tc>
          <w:tcPr>
            <w:tcW w:w="428" w:type="dxa"/>
            <w:tcBorders>
              <w:top w:val="single" w:sz="24" w:space="0" w:color="auto"/>
            </w:tcBorders>
            <w:textDirection w:val="btLr"/>
            <w:vAlign w:val="center"/>
          </w:tcPr>
          <w:p w14:paraId="0EA625E9" w14:textId="77777777" w:rsidR="003C5564" w:rsidRPr="003C5564" w:rsidRDefault="003C5564" w:rsidP="003C5564">
            <w:pPr>
              <w:pStyle w:val="Heading2"/>
              <w:spacing w:before="120" w:line="360" w:lineRule="auto"/>
              <w:ind w:left="113" w:right="113"/>
              <w:jc w:val="center"/>
              <w:outlineLvl w:val="1"/>
              <w:rPr>
                <w:b w:val="0"/>
                <w:color w:val="auto"/>
                <w:sz w:val="20"/>
              </w:rPr>
            </w:pPr>
            <w:r w:rsidRPr="003C5564">
              <w:rPr>
                <w:b w:val="0"/>
                <w:color w:val="auto"/>
                <w:sz w:val="20"/>
              </w:rPr>
              <w:t>Major</w:t>
            </w:r>
          </w:p>
        </w:tc>
        <w:tc>
          <w:tcPr>
            <w:tcW w:w="706" w:type="dxa"/>
            <w:tcBorders>
              <w:top w:val="single" w:sz="24" w:space="0" w:color="auto"/>
            </w:tcBorders>
            <w:shd w:val="clear" w:color="auto" w:fill="00B050"/>
            <w:textDirection w:val="btLr"/>
            <w:vAlign w:val="center"/>
          </w:tcPr>
          <w:p w14:paraId="17091950" w14:textId="51CDF0E3" w:rsidR="003C5564" w:rsidRPr="00FD28C8" w:rsidRDefault="003C5564" w:rsidP="00A92280">
            <w:pPr>
              <w:pStyle w:val="BodyText"/>
              <w:spacing w:after="0"/>
              <w:jc w:val="center"/>
              <w:rPr>
                <w:rFonts w:eastAsia="Times New Roman"/>
                <w:sz w:val="20"/>
                <w:szCs w:val="20"/>
              </w:rPr>
            </w:pPr>
            <w:r w:rsidRPr="00FD28C8">
              <w:rPr>
                <w:sz w:val="20"/>
              </w:rPr>
              <w:t>(</w:t>
            </w:r>
            <w:r w:rsidR="001109B4">
              <w:rPr>
                <w:sz w:val="20"/>
              </w:rPr>
              <w:t>Feb 20</w:t>
            </w:r>
            <w:r>
              <w:rPr>
                <w:sz w:val="20"/>
              </w:rPr>
              <w:t>)</w:t>
            </w:r>
          </w:p>
        </w:tc>
        <w:tc>
          <w:tcPr>
            <w:tcW w:w="5385" w:type="dxa"/>
            <w:tcBorders>
              <w:top w:val="single" w:sz="24" w:space="0" w:color="auto"/>
            </w:tcBorders>
          </w:tcPr>
          <w:p w14:paraId="5552E265" w14:textId="16EE1398" w:rsidR="001109B4" w:rsidRDefault="003C5564" w:rsidP="001109B4">
            <w:pPr>
              <w:pStyle w:val="BodyText"/>
              <w:spacing w:before="120" w:after="0"/>
              <w:rPr>
                <w:rFonts w:eastAsia="Times New Roman"/>
                <w:b/>
                <w:sz w:val="20"/>
                <w:szCs w:val="20"/>
              </w:rPr>
            </w:pPr>
            <w:r>
              <w:rPr>
                <w:rFonts w:eastAsia="Times New Roman"/>
                <w:b/>
                <w:sz w:val="20"/>
                <w:szCs w:val="20"/>
              </w:rPr>
              <w:t>Treatment Option 202</w:t>
            </w:r>
            <w:r w:rsidR="0093342E">
              <w:rPr>
                <w:rFonts w:eastAsia="Times New Roman"/>
                <w:b/>
                <w:sz w:val="20"/>
                <w:szCs w:val="20"/>
              </w:rPr>
              <w:t>1</w:t>
            </w:r>
            <w:r>
              <w:rPr>
                <w:rFonts w:eastAsia="Times New Roman"/>
                <w:b/>
                <w:sz w:val="20"/>
                <w:szCs w:val="20"/>
              </w:rPr>
              <w:t xml:space="preserve">/03/A:  Implement sound </w:t>
            </w:r>
            <w:r w:rsidR="001109B4">
              <w:rPr>
                <w:rFonts w:eastAsia="Times New Roman"/>
                <w:b/>
                <w:sz w:val="20"/>
                <w:szCs w:val="20"/>
              </w:rPr>
              <w:t>HSW</w:t>
            </w:r>
            <w:r>
              <w:rPr>
                <w:rFonts w:eastAsia="Times New Roman"/>
                <w:b/>
                <w:sz w:val="20"/>
                <w:szCs w:val="20"/>
              </w:rPr>
              <w:t xml:space="preserve"> processes and procedures</w:t>
            </w:r>
            <w:r w:rsidR="001109B4">
              <w:rPr>
                <w:rFonts w:eastAsia="Times New Roman"/>
                <w:b/>
                <w:sz w:val="20"/>
                <w:szCs w:val="20"/>
              </w:rPr>
              <w:t>.</w:t>
            </w:r>
          </w:p>
          <w:p w14:paraId="08425AC9" w14:textId="11FE92F0" w:rsidR="003C5564" w:rsidRPr="00B80263" w:rsidRDefault="003C5564" w:rsidP="001109B4">
            <w:pPr>
              <w:pStyle w:val="BodyText"/>
              <w:spacing w:before="120" w:after="0"/>
              <w:rPr>
                <w:rFonts w:eastAsia="Times New Roman"/>
                <w:color w:val="FF0000"/>
                <w:sz w:val="20"/>
                <w:szCs w:val="20"/>
              </w:rPr>
            </w:pPr>
            <w:r>
              <w:rPr>
                <w:rFonts w:eastAsia="Times New Roman"/>
                <w:sz w:val="20"/>
                <w:szCs w:val="20"/>
              </w:rPr>
              <w:t xml:space="preserve">The SLA documents include </w:t>
            </w:r>
            <w:r w:rsidR="001109B4">
              <w:rPr>
                <w:rFonts w:eastAsia="Times New Roman"/>
                <w:sz w:val="20"/>
                <w:szCs w:val="20"/>
              </w:rPr>
              <w:t xml:space="preserve">HSW </w:t>
            </w:r>
            <w:r>
              <w:rPr>
                <w:rFonts w:eastAsia="Times New Roman"/>
                <w:sz w:val="20"/>
                <w:szCs w:val="20"/>
              </w:rPr>
              <w:t xml:space="preserve">provisions. SAR sector </w:t>
            </w:r>
            <w:r w:rsidR="001109B4">
              <w:rPr>
                <w:rFonts w:eastAsia="Times New Roman"/>
                <w:sz w:val="20"/>
                <w:szCs w:val="20"/>
              </w:rPr>
              <w:t xml:space="preserve">HSW </w:t>
            </w:r>
            <w:proofErr w:type="gramStart"/>
            <w:r>
              <w:rPr>
                <w:rFonts w:eastAsia="Times New Roman"/>
                <w:sz w:val="20"/>
                <w:szCs w:val="20"/>
              </w:rPr>
              <w:t>monitoring</w:t>
            </w:r>
            <w:proofErr w:type="gramEnd"/>
            <w:r>
              <w:rPr>
                <w:rFonts w:eastAsia="Times New Roman"/>
                <w:sz w:val="20"/>
                <w:szCs w:val="20"/>
              </w:rPr>
              <w:t xml:space="preserve"> and reporting occurs at the SAR strategic </w:t>
            </w:r>
            <w:r w:rsidR="001109B4">
              <w:rPr>
                <w:rFonts w:eastAsia="Times New Roman"/>
                <w:sz w:val="20"/>
                <w:szCs w:val="20"/>
              </w:rPr>
              <w:t xml:space="preserve">HSW </w:t>
            </w:r>
            <w:r>
              <w:rPr>
                <w:rFonts w:eastAsia="Times New Roman"/>
                <w:sz w:val="20"/>
                <w:szCs w:val="20"/>
              </w:rPr>
              <w:t xml:space="preserve">Committee and a variety of other interagency SAR forums.   </w:t>
            </w:r>
            <w:r w:rsidR="001109B4">
              <w:rPr>
                <w:rFonts w:eastAsia="Times New Roman"/>
                <w:sz w:val="20"/>
                <w:szCs w:val="20"/>
              </w:rPr>
              <w:t xml:space="preserve">HSW </w:t>
            </w:r>
            <w:r>
              <w:rPr>
                <w:rFonts w:eastAsia="Times New Roman"/>
                <w:sz w:val="20"/>
                <w:szCs w:val="20"/>
              </w:rPr>
              <w:t xml:space="preserve">experiences and lessons are shared between SAR partner agencies.  </w:t>
            </w:r>
            <w:r w:rsidR="001109B4">
              <w:rPr>
                <w:rFonts w:eastAsia="Times New Roman"/>
                <w:sz w:val="20"/>
                <w:szCs w:val="20"/>
              </w:rPr>
              <w:t xml:space="preserve">HSW </w:t>
            </w:r>
            <w:r>
              <w:rPr>
                <w:rFonts w:eastAsia="Times New Roman"/>
                <w:sz w:val="20"/>
                <w:szCs w:val="20"/>
              </w:rPr>
              <w:t xml:space="preserve">Advice for the use of non-standard SAR assets has been developed and shared. </w:t>
            </w:r>
            <w:r w:rsidR="001109B4">
              <w:rPr>
                <w:rFonts w:eastAsia="Times New Roman"/>
                <w:sz w:val="20"/>
                <w:szCs w:val="20"/>
              </w:rPr>
              <w:t xml:space="preserve"> HSW included in relevant individual and </w:t>
            </w:r>
            <w:r w:rsidR="001109B4" w:rsidRPr="0094380F">
              <w:rPr>
                <w:rFonts w:eastAsia="Times New Roman"/>
                <w:color w:val="000000" w:themeColor="text1"/>
                <w:sz w:val="20"/>
                <w:szCs w:val="20"/>
              </w:rPr>
              <w:t>collective training.</w:t>
            </w:r>
            <w:r w:rsidR="00B80263" w:rsidRPr="0094380F">
              <w:rPr>
                <w:rFonts w:eastAsia="Times New Roman"/>
                <w:color w:val="000000" w:themeColor="text1"/>
                <w:sz w:val="20"/>
                <w:szCs w:val="20"/>
              </w:rPr>
              <w:t xml:space="preserve"> Independent review of HSW policies and processes occurs. Fatigue guidance prepared for the sector.</w:t>
            </w:r>
          </w:p>
        </w:tc>
        <w:tc>
          <w:tcPr>
            <w:tcW w:w="709" w:type="dxa"/>
            <w:tcBorders>
              <w:top w:val="single" w:sz="24" w:space="0" w:color="auto"/>
            </w:tcBorders>
            <w:shd w:val="clear" w:color="auto" w:fill="00B050"/>
            <w:textDirection w:val="btLr"/>
            <w:vAlign w:val="center"/>
          </w:tcPr>
          <w:p w14:paraId="74A18A30" w14:textId="77777777" w:rsidR="003C5564" w:rsidRDefault="003C5564" w:rsidP="00A92280">
            <w:pPr>
              <w:pStyle w:val="BodyText"/>
              <w:spacing w:after="0"/>
              <w:jc w:val="center"/>
              <w:rPr>
                <w:rFonts w:eastAsia="Times New Roman"/>
                <w:sz w:val="20"/>
                <w:szCs w:val="20"/>
              </w:rPr>
            </w:pPr>
            <w:r>
              <w:rPr>
                <w:rFonts w:eastAsia="Times New Roman"/>
                <w:sz w:val="20"/>
                <w:szCs w:val="20"/>
              </w:rPr>
              <w:t>Full</w:t>
            </w:r>
          </w:p>
        </w:tc>
        <w:tc>
          <w:tcPr>
            <w:tcW w:w="709" w:type="dxa"/>
            <w:tcBorders>
              <w:top w:val="single" w:sz="24" w:space="0" w:color="auto"/>
            </w:tcBorders>
            <w:shd w:val="clear" w:color="auto" w:fill="FFFF00"/>
            <w:textDirection w:val="btLr"/>
            <w:vAlign w:val="center"/>
          </w:tcPr>
          <w:p w14:paraId="743F43FA" w14:textId="77777777" w:rsidR="003C5564" w:rsidRPr="009441E2" w:rsidRDefault="003C5564" w:rsidP="00A92280">
            <w:pPr>
              <w:pStyle w:val="BodyText"/>
              <w:spacing w:before="120" w:after="0"/>
              <w:ind w:left="113" w:right="113"/>
              <w:jc w:val="center"/>
              <w:rPr>
                <w:rFonts w:eastAsia="Times New Roman"/>
                <w:sz w:val="20"/>
                <w:szCs w:val="20"/>
              </w:rPr>
            </w:pPr>
            <w:r>
              <w:rPr>
                <w:rFonts w:eastAsia="Times New Roman"/>
                <w:sz w:val="20"/>
                <w:szCs w:val="20"/>
              </w:rPr>
              <w:t>Ongoing</w:t>
            </w:r>
          </w:p>
        </w:tc>
        <w:tc>
          <w:tcPr>
            <w:tcW w:w="3402" w:type="dxa"/>
            <w:tcBorders>
              <w:top w:val="single" w:sz="24" w:space="0" w:color="auto"/>
            </w:tcBorders>
          </w:tcPr>
          <w:p w14:paraId="33ED8CA4" w14:textId="77777777" w:rsidR="00B80263" w:rsidRDefault="003C5564" w:rsidP="00A92280">
            <w:pPr>
              <w:pStyle w:val="BodyText"/>
              <w:spacing w:before="120" w:after="0"/>
              <w:rPr>
                <w:rFonts w:eastAsia="Times New Roman"/>
                <w:sz w:val="20"/>
                <w:szCs w:val="20"/>
              </w:rPr>
            </w:pPr>
            <w:r>
              <w:rPr>
                <w:rFonts w:eastAsia="Times New Roman"/>
                <w:sz w:val="20"/>
                <w:szCs w:val="20"/>
              </w:rPr>
              <w:t xml:space="preserve">SAR people are routinely exposed to a variety of hazardous situations, during operations, training and in base locations.  Sector management understands the risks and requirements.  Changing the culture to recognise the </w:t>
            </w:r>
            <w:r w:rsidR="001109B4">
              <w:rPr>
                <w:rFonts w:eastAsia="Times New Roman"/>
                <w:sz w:val="20"/>
                <w:szCs w:val="20"/>
              </w:rPr>
              <w:t xml:space="preserve">HSW </w:t>
            </w:r>
            <w:r>
              <w:rPr>
                <w:rFonts w:eastAsia="Times New Roman"/>
                <w:sz w:val="20"/>
                <w:szCs w:val="20"/>
              </w:rPr>
              <w:t xml:space="preserve">risks and requirements across all SAR organisations at all levels is a multi year journey </w:t>
            </w:r>
          </w:p>
          <w:p w14:paraId="3A1FC76E" w14:textId="525DE04C" w:rsidR="003C5564" w:rsidRPr="009441E2" w:rsidRDefault="003C5564" w:rsidP="00A92280">
            <w:pPr>
              <w:pStyle w:val="BodyText"/>
              <w:spacing w:before="120" w:after="0"/>
              <w:rPr>
                <w:rFonts w:eastAsia="Times New Roman"/>
                <w:sz w:val="20"/>
                <w:szCs w:val="20"/>
              </w:rPr>
            </w:pPr>
          </w:p>
        </w:tc>
      </w:tr>
      <w:tr w:rsidR="003C5564" w:rsidRPr="009441E2" w14:paraId="5E56F83A" w14:textId="77777777" w:rsidTr="00DB648A">
        <w:trPr>
          <w:cantSplit/>
          <w:trHeight w:val="1695"/>
        </w:trPr>
        <w:tc>
          <w:tcPr>
            <w:tcW w:w="984" w:type="dxa"/>
            <w:vMerge/>
          </w:tcPr>
          <w:p w14:paraId="60303713" w14:textId="77777777" w:rsidR="003C5564" w:rsidRDefault="003C5564" w:rsidP="00A92280">
            <w:pPr>
              <w:pStyle w:val="BodyText"/>
              <w:spacing w:before="120" w:after="0"/>
              <w:rPr>
                <w:rFonts w:eastAsia="Times New Roman"/>
                <w:sz w:val="20"/>
                <w:szCs w:val="20"/>
              </w:rPr>
            </w:pPr>
          </w:p>
        </w:tc>
        <w:tc>
          <w:tcPr>
            <w:tcW w:w="1560" w:type="dxa"/>
            <w:vMerge/>
          </w:tcPr>
          <w:p w14:paraId="34BDC9EA" w14:textId="77777777" w:rsidR="003C5564" w:rsidRDefault="003C5564" w:rsidP="00A92280">
            <w:pPr>
              <w:pStyle w:val="BodyText"/>
              <w:spacing w:before="120" w:after="0"/>
              <w:rPr>
                <w:rFonts w:eastAsia="Times New Roman"/>
                <w:b/>
                <w:sz w:val="20"/>
                <w:szCs w:val="20"/>
              </w:rPr>
            </w:pPr>
          </w:p>
        </w:tc>
        <w:tc>
          <w:tcPr>
            <w:tcW w:w="4396" w:type="dxa"/>
            <w:tcBorders>
              <w:bottom w:val="single" w:sz="2" w:space="0" w:color="auto"/>
            </w:tcBorders>
          </w:tcPr>
          <w:p w14:paraId="6FF7F311" w14:textId="3C632D77" w:rsidR="003C5564" w:rsidRDefault="003C5564" w:rsidP="00A92280">
            <w:pPr>
              <w:pStyle w:val="BodyText"/>
              <w:spacing w:before="120" w:after="0"/>
              <w:rPr>
                <w:sz w:val="20"/>
              </w:rPr>
            </w:pPr>
            <w:r>
              <w:rPr>
                <w:rFonts w:eastAsia="Times New Roman"/>
                <w:sz w:val="20"/>
                <w:szCs w:val="20"/>
              </w:rPr>
              <w:t xml:space="preserve">One or more SAR persons is harmed or killed due to avoidable, and </w:t>
            </w:r>
            <w:r w:rsidR="001109B4">
              <w:rPr>
                <w:rFonts w:eastAsia="Times New Roman"/>
                <w:sz w:val="20"/>
                <w:szCs w:val="20"/>
              </w:rPr>
              <w:t>foreseeable</w:t>
            </w:r>
            <w:r>
              <w:rPr>
                <w:rFonts w:eastAsia="Times New Roman"/>
                <w:sz w:val="20"/>
                <w:szCs w:val="20"/>
              </w:rPr>
              <w:t xml:space="preserve"> circumstances.  </w:t>
            </w:r>
          </w:p>
          <w:p w14:paraId="1634C3F2" w14:textId="77777777" w:rsidR="003C5564" w:rsidRDefault="003C5564" w:rsidP="00A92280">
            <w:pPr>
              <w:pStyle w:val="BodyText"/>
              <w:spacing w:before="120" w:after="0"/>
              <w:rPr>
                <w:sz w:val="20"/>
              </w:rPr>
            </w:pPr>
          </w:p>
        </w:tc>
        <w:tc>
          <w:tcPr>
            <w:tcW w:w="3691" w:type="dxa"/>
            <w:vMerge/>
          </w:tcPr>
          <w:p w14:paraId="014DDCA1" w14:textId="77777777" w:rsidR="003C5564" w:rsidRPr="009441E2" w:rsidRDefault="003C5564" w:rsidP="00A92280">
            <w:pPr>
              <w:pStyle w:val="BodyText"/>
              <w:spacing w:before="120" w:after="0"/>
              <w:rPr>
                <w:rFonts w:eastAsia="Times New Roman"/>
                <w:sz w:val="20"/>
                <w:szCs w:val="20"/>
              </w:rPr>
            </w:pPr>
          </w:p>
        </w:tc>
        <w:tc>
          <w:tcPr>
            <w:tcW w:w="427" w:type="dxa"/>
            <w:tcBorders>
              <w:bottom w:val="single" w:sz="2" w:space="0" w:color="auto"/>
            </w:tcBorders>
            <w:textDirection w:val="btLr"/>
            <w:vAlign w:val="bottom"/>
          </w:tcPr>
          <w:p w14:paraId="2315CB6E" w14:textId="77777777" w:rsidR="003C5564" w:rsidRPr="003C5564" w:rsidRDefault="003C5564" w:rsidP="003C5564">
            <w:pPr>
              <w:pStyle w:val="Heading2"/>
              <w:spacing w:before="120" w:line="360" w:lineRule="auto"/>
              <w:ind w:left="113" w:right="113"/>
              <w:jc w:val="center"/>
              <w:outlineLvl w:val="1"/>
              <w:rPr>
                <w:b w:val="0"/>
                <w:color w:val="auto"/>
                <w:sz w:val="20"/>
              </w:rPr>
            </w:pPr>
            <w:r w:rsidRPr="003C5564">
              <w:rPr>
                <w:b w:val="0"/>
                <w:color w:val="auto"/>
                <w:sz w:val="20"/>
              </w:rPr>
              <w:t>Rare</w:t>
            </w:r>
          </w:p>
        </w:tc>
        <w:tc>
          <w:tcPr>
            <w:tcW w:w="428" w:type="dxa"/>
            <w:tcBorders>
              <w:bottom w:val="single" w:sz="2" w:space="0" w:color="auto"/>
            </w:tcBorders>
            <w:textDirection w:val="btLr"/>
            <w:vAlign w:val="center"/>
          </w:tcPr>
          <w:p w14:paraId="162A049F" w14:textId="77777777" w:rsidR="003C5564" w:rsidRPr="003C5564" w:rsidRDefault="003C5564" w:rsidP="003C5564">
            <w:pPr>
              <w:pStyle w:val="Heading2"/>
              <w:spacing w:before="120" w:line="360" w:lineRule="auto"/>
              <w:ind w:left="113" w:right="113"/>
              <w:jc w:val="center"/>
              <w:outlineLvl w:val="1"/>
              <w:rPr>
                <w:b w:val="0"/>
                <w:color w:val="auto"/>
                <w:sz w:val="20"/>
              </w:rPr>
            </w:pPr>
            <w:r w:rsidRPr="003C5564">
              <w:rPr>
                <w:b w:val="0"/>
                <w:color w:val="auto"/>
                <w:sz w:val="20"/>
              </w:rPr>
              <w:t>Severe</w:t>
            </w:r>
          </w:p>
        </w:tc>
        <w:tc>
          <w:tcPr>
            <w:tcW w:w="706" w:type="dxa"/>
            <w:tcBorders>
              <w:bottom w:val="single" w:sz="2" w:space="0" w:color="auto"/>
            </w:tcBorders>
            <w:shd w:val="clear" w:color="auto" w:fill="FFFF00"/>
            <w:textDirection w:val="btLr"/>
            <w:vAlign w:val="center"/>
          </w:tcPr>
          <w:p w14:paraId="64FFF594" w14:textId="1AEADBB3" w:rsidR="003C5564" w:rsidRPr="00FD28C8" w:rsidRDefault="003C5564" w:rsidP="00A92280">
            <w:pPr>
              <w:pStyle w:val="BodyText"/>
              <w:spacing w:after="0"/>
              <w:jc w:val="center"/>
              <w:rPr>
                <w:rFonts w:eastAsia="Times New Roman"/>
                <w:sz w:val="20"/>
                <w:szCs w:val="20"/>
              </w:rPr>
            </w:pPr>
            <w:r w:rsidRPr="00FD28C8">
              <w:rPr>
                <w:sz w:val="20"/>
              </w:rPr>
              <w:t>(</w:t>
            </w:r>
            <w:r w:rsidR="001109B4">
              <w:rPr>
                <w:sz w:val="20"/>
              </w:rPr>
              <w:t>Feb 20</w:t>
            </w:r>
            <w:r w:rsidRPr="00FD28C8">
              <w:rPr>
                <w:sz w:val="20"/>
              </w:rPr>
              <w:t>)</w:t>
            </w:r>
          </w:p>
        </w:tc>
        <w:tc>
          <w:tcPr>
            <w:tcW w:w="5385" w:type="dxa"/>
            <w:tcBorders>
              <w:bottom w:val="single" w:sz="2" w:space="0" w:color="auto"/>
            </w:tcBorders>
          </w:tcPr>
          <w:p w14:paraId="4A7D1E99" w14:textId="2DB0349D" w:rsidR="003C5564" w:rsidRDefault="003C5564" w:rsidP="00A92280">
            <w:pPr>
              <w:pStyle w:val="BodyText"/>
              <w:spacing w:before="120" w:after="0"/>
              <w:rPr>
                <w:rFonts w:eastAsia="Times New Roman"/>
                <w:b/>
                <w:sz w:val="20"/>
                <w:szCs w:val="20"/>
              </w:rPr>
            </w:pPr>
            <w:bookmarkStart w:id="1" w:name="_Hlk72330258"/>
            <w:r>
              <w:rPr>
                <w:rFonts w:eastAsia="Times New Roman"/>
                <w:b/>
                <w:sz w:val="20"/>
                <w:szCs w:val="20"/>
              </w:rPr>
              <w:t>Treatment Option 202</w:t>
            </w:r>
            <w:r w:rsidR="0093342E">
              <w:rPr>
                <w:rFonts w:eastAsia="Times New Roman"/>
                <w:b/>
                <w:sz w:val="20"/>
                <w:szCs w:val="20"/>
              </w:rPr>
              <w:t>1</w:t>
            </w:r>
            <w:r>
              <w:rPr>
                <w:rFonts w:eastAsia="Times New Roman"/>
                <w:b/>
                <w:sz w:val="20"/>
                <w:szCs w:val="20"/>
              </w:rPr>
              <w:t xml:space="preserve">/03/B:  </w:t>
            </w:r>
            <w:r w:rsidR="001109B4">
              <w:rPr>
                <w:rFonts w:eastAsia="Times New Roman"/>
                <w:b/>
                <w:sz w:val="20"/>
                <w:szCs w:val="20"/>
              </w:rPr>
              <w:t xml:space="preserve">HSW </w:t>
            </w:r>
            <w:r>
              <w:rPr>
                <w:rFonts w:eastAsia="Times New Roman"/>
                <w:b/>
                <w:sz w:val="20"/>
                <w:szCs w:val="20"/>
              </w:rPr>
              <w:t>incident contingency planning</w:t>
            </w:r>
          </w:p>
          <w:bookmarkEnd w:id="1"/>
          <w:p w14:paraId="3D0B9E10" w14:textId="1A8B7116" w:rsidR="003C5564" w:rsidRPr="003F7BFF" w:rsidRDefault="003C5564" w:rsidP="00A92280">
            <w:pPr>
              <w:pStyle w:val="BodyText"/>
              <w:spacing w:before="120" w:after="0"/>
              <w:rPr>
                <w:rFonts w:eastAsia="Times New Roman"/>
                <w:b/>
                <w:sz w:val="20"/>
                <w:szCs w:val="20"/>
              </w:rPr>
            </w:pPr>
            <w:r>
              <w:rPr>
                <w:rFonts w:eastAsia="Times New Roman"/>
                <w:sz w:val="20"/>
                <w:szCs w:val="20"/>
              </w:rPr>
              <w:t xml:space="preserve">SAR providing agencies and coordinating authorities are encouraged to develop contingency plans for use in the event of a SAR related severe </w:t>
            </w:r>
            <w:r w:rsidR="001109B4">
              <w:rPr>
                <w:rFonts w:eastAsia="Times New Roman"/>
                <w:sz w:val="20"/>
                <w:szCs w:val="20"/>
              </w:rPr>
              <w:t xml:space="preserve">HSW </w:t>
            </w:r>
            <w:r>
              <w:rPr>
                <w:rFonts w:eastAsia="Times New Roman"/>
                <w:sz w:val="20"/>
                <w:szCs w:val="20"/>
              </w:rPr>
              <w:t xml:space="preserve">incident.  Plans may include media, internal </w:t>
            </w:r>
            <w:proofErr w:type="gramStart"/>
            <w:r>
              <w:rPr>
                <w:rFonts w:eastAsia="Times New Roman"/>
                <w:sz w:val="20"/>
                <w:szCs w:val="20"/>
              </w:rPr>
              <w:t>personnel</w:t>
            </w:r>
            <w:proofErr w:type="gramEnd"/>
            <w:r>
              <w:rPr>
                <w:rFonts w:eastAsia="Times New Roman"/>
                <w:sz w:val="20"/>
                <w:szCs w:val="20"/>
              </w:rPr>
              <w:t xml:space="preserve"> and SAR partner engagement as well as grief &amp; trauma counselling etc. </w:t>
            </w:r>
          </w:p>
        </w:tc>
        <w:tc>
          <w:tcPr>
            <w:tcW w:w="709" w:type="dxa"/>
            <w:tcBorders>
              <w:bottom w:val="single" w:sz="2" w:space="0" w:color="auto"/>
            </w:tcBorders>
            <w:shd w:val="clear" w:color="auto" w:fill="FF0000"/>
            <w:textDirection w:val="btLr"/>
            <w:vAlign w:val="center"/>
          </w:tcPr>
          <w:p w14:paraId="01BB946C" w14:textId="77777777" w:rsidR="003C5564" w:rsidRDefault="003C5564" w:rsidP="00A92280">
            <w:pPr>
              <w:pStyle w:val="BodyText"/>
              <w:spacing w:after="0"/>
              <w:jc w:val="center"/>
              <w:rPr>
                <w:rFonts w:eastAsia="Times New Roman"/>
                <w:sz w:val="20"/>
                <w:szCs w:val="20"/>
              </w:rPr>
            </w:pPr>
            <w:r>
              <w:rPr>
                <w:rFonts w:eastAsia="Times New Roman"/>
                <w:sz w:val="20"/>
                <w:szCs w:val="20"/>
              </w:rPr>
              <w:t>Nil</w:t>
            </w:r>
          </w:p>
        </w:tc>
        <w:tc>
          <w:tcPr>
            <w:tcW w:w="709" w:type="dxa"/>
            <w:tcBorders>
              <w:bottom w:val="single" w:sz="2" w:space="0" w:color="auto"/>
            </w:tcBorders>
            <w:shd w:val="clear" w:color="auto" w:fill="FFFF00"/>
            <w:textDirection w:val="btLr"/>
            <w:vAlign w:val="center"/>
          </w:tcPr>
          <w:p w14:paraId="1439A716" w14:textId="7F307E4E" w:rsidR="003C5564" w:rsidRPr="009441E2" w:rsidRDefault="00362D61" w:rsidP="003C5564">
            <w:pPr>
              <w:pStyle w:val="BodyText"/>
              <w:spacing w:before="120" w:after="0"/>
              <w:ind w:right="113"/>
              <w:jc w:val="center"/>
              <w:rPr>
                <w:rFonts w:eastAsia="Times New Roman"/>
                <w:sz w:val="20"/>
                <w:szCs w:val="20"/>
              </w:rPr>
            </w:pPr>
            <w:r>
              <w:rPr>
                <w:rFonts w:eastAsia="Times New Roman"/>
                <w:sz w:val="20"/>
                <w:szCs w:val="20"/>
              </w:rPr>
              <w:t xml:space="preserve">(Q 4 </w:t>
            </w:r>
            <w:r w:rsidR="003C5564">
              <w:rPr>
                <w:rFonts w:eastAsia="Times New Roman"/>
                <w:sz w:val="20"/>
                <w:szCs w:val="20"/>
              </w:rPr>
              <w:t>202</w:t>
            </w:r>
            <w:r w:rsidR="004D4376">
              <w:rPr>
                <w:rFonts w:eastAsia="Times New Roman"/>
                <w:sz w:val="20"/>
                <w:szCs w:val="20"/>
              </w:rPr>
              <w:t>1</w:t>
            </w:r>
            <w:r>
              <w:rPr>
                <w:rFonts w:eastAsia="Times New Roman"/>
                <w:sz w:val="20"/>
                <w:szCs w:val="20"/>
              </w:rPr>
              <w:t>)</w:t>
            </w:r>
          </w:p>
        </w:tc>
        <w:tc>
          <w:tcPr>
            <w:tcW w:w="3402" w:type="dxa"/>
            <w:tcBorders>
              <w:bottom w:val="single" w:sz="2" w:space="0" w:color="auto"/>
            </w:tcBorders>
          </w:tcPr>
          <w:p w14:paraId="35459B3D" w14:textId="7889F62A" w:rsidR="003C5564" w:rsidRPr="0094380F" w:rsidRDefault="00A7588B" w:rsidP="00A92280">
            <w:pPr>
              <w:pStyle w:val="BodyText"/>
              <w:spacing w:before="120" w:after="0"/>
              <w:rPr>
                <w:rFonts w:eastAsia="Times New Roman"/>
                <w:color w:val="000000" w:themeColor="text1"/>
                <w:sz w:val="20"/>
                <w:szCs w:val="20"/>
              </w:rPr>
            </w:pPr>
            <w:r>
              <w:rPr>
                <w:rFonts w:eastAsia="Times New Roman"/>
                <w:sz w:val="20"/>
                <w:szCs w:val="20"/>
              </w:rPr>
              <w:t xml:space="preserve">The </w:t>
            </w:r>
            <w:r w:rsidR="00AE148D">
              <w:rPr>
                <w:rFonts w:eastAsia="Times New Roman"/>
                <w:sz w:val="20"/>
                <w:szCs w:val="20"/>
              </w:rPr>
              <w:t>NZSAR HSW</w:t>
            </w:r>
            <w:r>
              <w:rPr>
                <w:rFonts w:eastAsia="Times New Roman"/>
                <w:sz w:val="20"/>
                <w:szCs w:val="20"/>
              </w:rPr>
              <w:t xml:space="preserve"> committee and the NZSAR Communications Collaborative to manage and </w:t>
            </w:r>
            <w:r w:rsidRPr="0094380F">
              <w:rPr>
                <w:rFonts w:eastAsia="Times New Roman"/>
                <w:color w:val="000000" w:themeColor="text1"/>
                <w:sz w:val="20"/>
                <w:szCs w:val="20"/>
              </w:rPr>
              <w:t>monitor this work</w:t>
            </w:r>
            <w:r w:rsidR="001109B4" w:rsidRPr="0094380F">
              <w:rPr>
                <w:rFonts w:eastAsia="Times New Roman"/>
                <w:color w:val="000000" w:themeColor="text1"/>
                <w:sz w:val="20"/>
                <w:szCs w:val="20"/>
              </w:rPr>
              <w:t>. Include requirement</w:t>
            </w:r>
            <w:r w:rsidR="00292DD8" w:rsidRPr="0094380F">
              <w:rPr>
                <w:rFonts w:eastAsia="Times New Roman"/>
                <w:color w:val="000000" w:themeColor="text1"/>
                <w:sz w:val="20"/>
                <w:szCs w:val="20"/>
              </w:rPr>
              <w:t xml:space="preserve"> included </w:t>
            </w:r>
            <w:r w:rsidR="001109B4" w:rsidRPr="0094380F">
              <w:rPr>
                <w:rFonts w:eastAsia="Times New Roman"/>
                <w:color w:val="000000" w:themeColor="text1"/>
                <w:sz w:val="20"/>
                <w:szCs w:val="20"/>
              </w:rPr>
              <w:t>in future SLAs / MOUs.</w:t>
            </w:r>
          </w:p>
          <w:p w14:paraId="0F080AE1" w14:textId="77777777" w:rsidR="003C5564" w:rsidRDefault="003C5564" w:rsidP="00A92280">
            <w:pPr>
              <w:pStyle w:val="BodyText"/>
              <w:spacing w:before="120" w:after="0"/>
              <w:rPr>
                <w:rFonts w:eastAsia="Times New Roman"/>
                <w:sz w:val="20"/>
                <w:szCs w:val="20"/>
              </w:rPr>
            </w:pPr>
          </w:p>
          <w:p w14:paraId="02CBC526" w14:textId="60D8ADC3" w:rsidR="003C5564" w:rsidRPr="009441E2" w:rsidRDefault="003C5564" w:rsidP="00A92280">
            <w:pPr>
              <w:pStyle w:val="BodyText"/>
              <w:spacing w:before="120" w:after="0"/>
              <w:rPr>
                <w:rFonts w:eastAsia="Times New Roman"/>
                <w:sz w:val="20"/>
                <w:szCs w:val="20"/>
              </w:rPr>
            </w:pPr>
          </w:p>
        </w:tc>
      </w:tr>
      <w:tr w:rsidR="003C5564" w:rsidRPr="009441E2" w14:paraId="35156ADC" w14:textId="77777777" w:rsidTr="00DB648A">
        <w:trPr>
          <w:cantSplit/>
          <w:trHeight w:val="1200"/>
        </w:trPr>
        <w:tc>
          <w:tcPr>
            <w:tcW w:w="984" w:type="dxa"/>
            <w:vMerge/>
          </w:tcPr>
          <w:p w14:paraId="79B8D393" w14:textId="77777777" w:rsidR="003C5564" w:rsidRDefault="003C5564" w:rsidP="003C5564">
            <w:pPr>
              <w:pStyle w:val="BodyText"/>
              <w:spacing w:before="120" w:after="0"/>
              <w:rPr>
                <w:rFonts w:eastAsia="Times New Roman"/>
                <w:sz w:val="20"/>
                <w:szCs w:val="20"/>
              </w:rPr>
            </w:pPr>
          </w:p>
        </w:tc>
        <w:tc>
          <w:tcPr>
            <w:tcW w:w="1560" w:type="dxa"/>
            <w:vMerge/>
          </w:tcPr>
          <w:p w14:paraId="4299B413" w14:textId="77777777" w:rsidR="003C5564" w:rsidRDefault="003C5564" w:rsidP="003C5564">
            <w:pPr>
              <w:pStyle w:val="BodyText"/>
              <w:spacing w:before="120" w:after="0"/>
              <w:rPr>
                <w:rFonts w:eastAsia="Times New Roman"/>
                <w:b/>
                <w:sz w:val="20"/>
                <w:szCs w:val="20"/>
              </w:rPr>
            </w:pPr>
          </w:p>
        </w:tc>
        <w:tc>
          <w:tcPr>
            <w:tcW w:w="4396" w:type="dxa"/>
            <w:tcBorders>
              <w:top w:val="single" w:sz="2" w:space="0" w:color="auto"/>
            </w:tcBorders>
          </w:tcPr>
          <w:p w14:paraId="1D9E188B" w14:textId="75103819" w:rsidR="003C5564" w:rsidRDefault="003C5564" w:rsidP="003C5564">
            <w:pPr>
              <w:pStyle w:val="BodyText"/>
              <w:spacing w:before="120" w:after="0"/>
              <w:rPr>
                <w:rFonts w:eastAsia="Times New Roman"/>
                <w:sz w:val="20"/>
                <w:szCs w:val="20"/>
              </w:rPr>
            </w:pPr>
            <w:r>
              <w:rPr>
                <w:rFonts w:eastAsia="Times New Roman"/>
                <w:sz w:val="20"/>
                <w:szCs w:val="20"/>
              </w:rPr>
              <w:t>SAR person(s) experience mental health trauma during or because of their SAR service and do not receive adequate support.</w:t>
            </w:r>
          </w:p>
        </w:tc>
        <w:tc>
          <w:tcPr>
            <w:tcW w:w="3691" w:type="dxa"/>
            <w:vMerge/>
          </w:tcPr>
          <w:p w14:paraId="55204597" w14:textId="77777777" w:rsidR="003C5564" w:rsidRPr="009441E2" w:rsidRDefault="003C5564" w:rsidP="003C5564">
            <w:pPr>
              <w:pStyle w:val="BodyText"/>
              <w:spacing w:before="120" w:after="0"/>
              <w:rPr>
                <w:rFonts w:eastAsia="Times New Roman"/>
                <w:sz w:val="20"/>
                <w:szCs w:val="20"/>
              </w:rPr>
            </w:pPr>
          </w:p>
        </w:tc>
        <w:tc>
          <w:tcPr>
            <w:tcW w:w="427" w:type="dxa"/>
            <w:tcBorders>
              <w:top w:val="single" w:sz="2" w:space="0" w:color="auto"/>
            </w:tcBorders>
            <w:textDirection w:val="btLr"/>
            <w:vAlign w:val="bottom"/>
          </w:tcPr>
          <w:p w14:paraId="521A9B6E" w14:textId="5FC365ED" w:rsidR="003C5564" w:rsidRPr="003C5564" w:rsidRDefault="003C5564" w:rsidP="003C5564">
            <w:pPr>
              <w:pStyle w:val="Heading2"/>
              <w:spacing w:before="120" w:line="360" w:lineRule="auto"/>
              <w:ind w:left="113" w:right="113"/>
              <w:jc w:val="center"/>
              <w:outlineLvl w:val="1"/>
              <w:rPr>
                <w:b w:val="0"/>
                <w:color w:val="auto"/>
                <w:sz w:val="20"/>
              </w:rPr>
            </w:pPr>
            <w:r w:rsidRPr="003C5564">
              <w:rPr>
                <w:b w:val="0"/>
                <w:color w:val="auto"/>
                <w:sz w:val="20"/>
              </w:rPr>
              <w:t>Rare</w:t>
            </w:r>
          </w:p>
        </w:tc>
        <w:tc>
          <w:tcPr>
            <w:tcW w:w="428" w:type="dxa"/>
            <w:tcBorders>
              <w:top w:val="single" w:sz="2" w:space="0" w:color="auto"/>
            </w:tcBorders>
            <w:textDirection w:val="btLr"/>
            <w:vAlign w:val="center"/>
          </w:tcPr>
          <w:p w14:paraId="61C9A22D" w14:textId="78A6AFE8" w:rsidR="003C5564" w:rsidRPr="003C5564" w:rsidRDefault="00423508" w:rsidP="003C5564">
            <w:pPr>
              <w:pStyle w:val="Heading2"/>
              <w:spacing w:before="120" w:line="360" w:lineRule="auto"/>
              <w:ind w:left="113" w:right="113"/>
              <w:jc w:val="center"/>
              <w:outlineLvl w:val="1"/>
              <w:rPr>
                <w:b w:val="0"/>
                <w:color w:val="auto"/>
                <w:sz w:val="20"/>
              </w:rPr>
            </w:pPr>
            <w:r>
              <w:rPr>
                <w:b w:val="0"/>
                <w:color w:val="auto"/>
                <w:sz w:val="20"/>
              </w:rPr>
              <w:t>Major</w:t>
            </w:r>
          </w:p>
        </w:tc>
        <w:tc>
          <w:tcPr>
            <w:tcW w:w="706" w:type="dxa"/>
            <w:tcBorders>
              <w:top w:val="single" w:sz="2" w:space="0" w:color="auto"/>
            </w:tcBorders>
            <w:shd w:val="clear" w:color="auto" w:fill="FFFF00"/>
            <w:textDirection w:val="btLr"/>
            <w:vAlign w:val="center"/>
          </w:tcPr>
          <w:p w14:paraId="0F5F82AD" w14:textId="237BE15A" w:rsidR="003C5564" w:rsidRPr="00FD28C8" w:rsidRDefault="003C5564" w:rsidP="003C5564">
            <w:pPr>
              <w:spacing w:after="200" w:line="276" w:lineRule="auto"/>
              <w:jc w:val="center"/>
              <w:rPr>
                <w:sz w:val="20"/>
              </w:rPr>
            </w:pPr>
            <w:r>
              <w:rPr>
                <w:sz w:val="20"/>
              </w:rPr>
              <w:t>(</w:t>
            </w:r>
            <w:r w:rsidR="001109B4">
              <w:rPr>
                <w:sz w:val="20"/>
              </w:rPr>
              <w:t>Feb</w:t>
            </w:r>
            <w:r>
              <w:rPr>
                <w:sz w:val="20"/>
              </w:rPr>
              <w:t xml:space="preserve"> 20)</w:t>
            </w:r>
          </w:p>
        </w:tc>
        <w:tc>
          <w:tcPr>
            <w:tcW w:w="5385" w:type="dxa"/>
            <w:tcBorders>
              <w:top w:val="single" w:sz="2" w:space="0" w:color="auto"/>
            </w:tcBorders>
          </w:tcPr>
          <w:p w14:paraId="20E6C0E0" w14:textId="1BF27EA0" w:rsidR="003C5564" w:rsidRDefault="003C5564" w:rsidP="003C5564">
            <w:pPr>
              <w:pStyle w:val="BodyText"/>
              <w:spacing w:before="120" w:after="0"/>
              <w:rPr>
                <w:rFonts w:eastAsia="Times New Roman"/>
                <w:b/>
                <w:sz w:val="20"/>
                <w:szCs w:val="20"/>
              </w:rPr>
            </w:pPr>
            <w:r>
              <w:rPr>
                <w:rFonts w:eastAsia="Times New Roman"/>
                <w:b/>
                <w:sz w:val="20"/>
                <w:szCs w:val="20"/>
              </w:rPr>
              <w:t>Treatment Option 202</w:t>
            </w:r>
            <w:r w:rsidR="0093342E">
              <w:rPr>
                <w:rFonts w:eastAsia="Times New Roman"/>
                <w:b/>
                <w:sz w:val="20"/>
                <w:szCs w:val="20"/>
              </w:rPr>
              <w:t>1</w:t>
            </w:r>
            <w:r>
              <w:rPr>
                <w:rFonts w:eastAsia="Times New Roman"/>
                <w:b/>
                <w:sz w:val="20"/>
                <w:szCs w:val="20"/>
              </w:rPr>
              <w:t xml:space="preserve">/03/C:  </w:t>
            </w:r>
            <w:r w:rsidR="00423508">
              <w:rPr>
                <w:rFonts w:eastAsia="Times New Roman"/>
                <w:b/>
                <w:sz w:val="20"/>
                <w:szCs w:val="20"/>
              </w:rPr>
              <w:t>Suitable w</w:t>
            </w:r>
            <w:r>
              <w:rPr>
                <w:rFonts w:eastAsia="Times New Roman"/>
                <w:b/>
                <w:sz w:val="20"/>
                <w:szCs w:val="20"/>
              </w:rPr>
              <w:t xml:space="preserve">ellbeing </w:t>
            </w:r>
            <w:r w:rsidR="00423508">
              <w:rPr>
                <w:rFonts w:eastAsia="Times New Roman"/>
                <w:b/>
                <w:sz w:val="20"/>
                <w:szCs w:val="20"/>
              </w:rPr>
              <w:t>support is available for all SAR people as required.</w:t>
            </w:r>
          </w:p>
          <w:p w14:paraId="20D434A3" w14:textId="504D485E" w:rsidR="00423508" w:rsidRPr="00B80263" w:rsidRDefault="00423508" w:rsidP="00423508">
            <w:pPr>
              <w:pStyle w:val="BodyText"/>
              <w:spacing w:before="120" w:after="0"/>
              <w:rPr>
                <w:rFonts w:eastAsia="Times New Roman"/>
                <w:color w:val="FF0000"/>
                <w:sz w:val="20"/>
                <w:szCs w:val="20"/>
              </w:rPr>
            </w:pPr>
            <w:r>
              <w:rPr>
                <w:rFonts w:eastAsia="Times New Roman"/>
                <w:sz w:val="20"/>
                <w:szCs w:val="20"/>
              </w:rPr>
              <w:t xml:space="preserve">Wellbeing, </w:t>
            </w:r>
            <w:proofErr w:type="gramStart"/>
            <w:r>
              <w:rPr>
                <w:rFonts w:eastAsia="Times New Roman"/>
                <w:sz w:val="20"/>
                <w:szCs w:val="20"/>
              </w:rPr>
              <w:t>grief</w:t>
            </w:r>
            <w:proofErr w:type="gramEnd"/>
            <w:r>
              <w:rPr>
                <w:rFonts w:eastAsia="Times New Roman"/>
                <w:sz w:val="20"/>
                <w:szCs w:val="20"/>
              </w:rPr>
              <w:t xml:space="preserve"> and trauma counselling is the responsibility of persons ‘home’ agency. All agencies will be expected to </w:t>
            </w:r>
            <w:r w:rsidR="001109B4">
              <w:rPr>
                <w:rFonts w:eastAsia="Times New Roman"/>
                <w:sz w:val="20"/>
                <w:szCs w:val="20"/>
              </w:rPr>
              <w:t xml:space="preserve">retain systems to provide the requisite wellbeing support. Trauma guidance has been developed for adoption and distribution by agencies. </w:t>
            </w:r>
          </w:p>
          <w:p w14:paraId="5E24D0A8" w14:textId="2B00498C" w:rsidR="003C5564" w:rsidRDefault="003C5564" w:rsidP="003C5564">
            <w:pPr>
              <w:pStyle w:val="BodyText"/>
              <w:spacing w:before="120" w:after="0"/>
              <w:rPr>
                <w:rFonts w:eastAsia="Times New Roman"/>
                <w:b/>
                <w:sz w:val="20"/>
                <w:szCs w:val="20"/>
              </w:rPr>
            </w:pPr>
          </w:p>
        </w:tc>
        <w:tc>
          <w:tcPr>
            <w:tcW w:w="709" w:type="dxa"/>
            <w:tcBorders>
              <w:top w:val="single" w:sz="2" w:space="0" w:color="auto"/>
            </w:tcBorders>
            <w:shd w:val="clear" w:color="auto" w:fill="FFFF00"/>
            <w:textDirection w:val="btLr"/>
            <w:vAlign w:val="center"/>
          </w:tcPr>
          <w:p w14:paraId="4565A482" w14:textId="0D5C962A" w:rsidR="003C5564" w:rsidRDefault="00362D61" w:rsidP="00423508">
            <w:pPr>
              <w:spacing w:after="200" w:line="276" w:lineRule="auto"/>
              <w:jc w:val="center"/>
              <w:rPr>
                <w:rFonts w:eastAsia="Times New Roman"/>
                <w:sz w:val="20"/>
                <w:szCs w:val="20"/>
              </w:rPr>
            </w:pPr>
            <w:r>
              <w:rPr>
                <w:rFonts w:eastAsia="Times New Roman"/>
                <w:sz w:val="20"/>
                <w:szCs w:val="20"/>
              </w:rPr>
              <w:t>Variable</w:t>
            </w:r>
          </w:p>
        </w:tc>
        <w:tc>
          <w:tcPr>
            <w:tcW w:w="709" w:type="dxa"/>
            <w:tcBorders>
              <w:top w:val="single" w:sz="2" w:space="0" w:color="auto"/>
            </w:tcBorders>
            <w:shd w:val="clear" w:color="auto" w:fill="00B050"/>
            <w:textDirection w:val="btLr"/>
            <w:vAlign w:val="center"/>
          </w:tcPr>
          <w:p w14:paraId="6764E325" w14:textId="6FA83924" w:rsidR="003C5564" w:rsidRDefault="004D4376" w:rsidP="00423508">
            <w:pPr>
              <w:spacing w:after="200" w:line="276" w:lineRule="auto"/>
              <w:jc w:val="center"/>
              <w:rPr>
                <w:rFonts w:eastAsia="Times New Roman"/>
                <w:sz w:val="20"/>
                <w:szCs w:val="20"/>
              </w:rPr>
            </w:pPr>
            <w:r>
              <w:rPr>
                <w:rFonts w:eastAsia="Times New Roman"/>
                <w:sz w:val="20"/>
                <w:szCs w:val="20"/>
              </w:rPr>
              <w:t>Ongoing</w:t>
            </w:r>
          </w:p>
        </w:tc>
        <w:tc>
          <w:tcPr>
            <w:tcW w:w="3402" w:type="dxa"/>
            <w:tcBorders>
              <w:top w:val="single" w:sz="2" w:space="0" w:color="auto"/>
            </w:tcBorders>
          </w:tcPr>
          <w:p w14:paraId="557F30BE" w14:textId="39C2643A" w:rsidR="003C5564" w:rsidRDefault="00423508" w:rsidP="003C5564">
            <w:pPr>
              <w:pStyle w:val="BodyText"/>
              <w:spacing w:before="120" w:after="0"/>
              <w:rPr>
                <w:rFonts w:eastAsia="Times New Roman"/>
                <w:sz w:val="20"/>
                <w:szCs w:val="20"/>
              </w:rPr>
            </w:pPr>
            <w:r>
              <w:rPr>
                <w:rFonts w:eastAsia="Times New Roman"/>
                <w:sz w:val="20"/>
                <w:szCs w:val="20"/>
              </w:rPr>
              <w:t xml:space="preserve">Variable </w:t>
            </w:r>
            <w:r w:rsidR="00362D61">
              <w:rPr>
                <w:rFonts w:eastAsia="Times New Roman"/>
                <w:sz w:val="20"/>
                <w:szCs w:val="20"/>
              </w:rPr>
              <w:t>capability with</w:t>
            </w:r>
            <w:r>
              <w:rPr>
                <w:rFonts w:eastAsia="Times New Roman"/>
                <w:sz w:val="20"/>
                <w:szCs w:val="20"/>
              </w:rPr>
              <w:t xml:space="preserve"> some agencies having long standing and practiced arrangements, others nothing at all.</w:t>
            </w:r>
          </w:p>
          <w:p w14:paraId="246AED11" w14:textId="77777777" w:rsidR="003C5564" w:rsidRDefault="003C5564" w:rsidP="00292DD8">
            <w:pPr>
              <w:pStyle w:val="BodyText"/>
              <w:spacing w:before="120" w:after="0"/>
              <w:rPr>
                <w:rFonts w:eastAsia="Times New Roman"/>
                <w:sz w:val="20"/>
                <w:szCs w:val="20"/>
              </w:rPr>
            </w:pPr>
          </w:p>
        </w:tc>
      </w:tr>
    </w:tbl>
    <w:p w14:paraId="7672B0A1" w14:textId="28EEF558" w:rsidR="00292DD8" w:rsidRDefault="00292DD8"/>
    <w:tbl>
      <w:tblPr>
        <w:tblStyle w:val="TableGrid"/>
        <w:tblW w:w="22252" w:type="dxa"/>
        <w:tblInd w:w="-459" w:type="dxa"/>
        <w:tblLayout w:type="fixed"/>
        <w:tblLook w:val="04A0" w:firstRow="1" w:lastRow="0" w:firstColumn="1" w:lastColumn="0" w:noHBand="0" w:noVBand="1"/>
      </w:tblPr>
      <w:tblGrid>
        <w:gridCol w:w="984"/>
        <w:gridCol w:w="1560"/>
        <w:gridCol w:w="8"/>
        <w:gridCol w:w="4379"/>
        <w:gridCol w:w="3688"/>
        <w:gridCol w:w="427"/>
        <w:gridCol w:w="428"/>
        <w:gridCol w:w="568"/>
        <w:gridCol w:w="5382"/>
        <w:gridCol w:w="712"/>
        <w:gridCol w:w="712"/>
        <w:gridCol w:w="3398"/>
        <w:gridCol w:w="6"/>
      </w:tblGrid>
      <w:tr w:rsidR="00292DD8" w:rsidRPr="00286A2D" w14:paraId="793E976D" w14:textId="77777777" w:rsidTr="00292DD8">
        <w:trPr>
          <w:gridAfter w:val="1"/>
          <w:wAfter w:w="6" w:type="dxa"/>
          <w:trHeight w:val="1809"/>
        </w:trPr>
        <w:tc>
          <w:tcPr>
            <w:tcW w:w="984" w:type="dxa"/>
            <w:shd w:val="clear" w:color="auto" w:fill="FBD4B4" w:themeFill="accent6" w:themeFillTint="66"/>
            <w:textDirection w:val="btLr"/>
            <w:vAlign w:val="center"/>
          </w:tcPr>
          <w:p w14:paraId="61BFAF19" w14:textId="4BC380B5" w:rsidR="00292DD8" w:rsidRPr="00286A2D" w:rsidRDefault="00292DD8" w:rsidP="00292DD8">
            <w:pPr>
              <w:jc w:val="center"/>
              <w:rPr>
                <w:b/>
                <w:sz w:val="20"/>
                <w:szCs w:val="20"/>
              </w:rPr>
            </w:pPr>
            <w:r w:rsidRPr="00286A2D">
              <w:rPr>
                <w:b/>
                <w:sz w:val="20"/>
                <w:szCs w:val="20"/>
              </w:rPr>
              <w:t>Risk #</w:t>
            </w:r>
          </w:p>
        </w:tc>
        <w:tc>
          <w:tcPr>
            <w:tcW w:w="1560" w:type="dxa"/>
            <w:shd w:val="clear" w:color="auto" w:fill="FBD4B4" w:themeFill="accent6" w:themeFillTint="66"/>
            <w:vAlign w:val="center"/>
          </w:tcPr>
          <w:p w14:paraId="11AD31C5" w14:textId="77777777" w:rsidR="00292DD8" w:rsidRPr="00286A2D" w:rsidRDefault="00292DD8" w:rsidP="00292DD8">
            <w:pPr>
              <w:jc w:val="center"/>
              <w:rPr>
                <w:b/>
                <w:sz w:val="20"/>
                <w:szCs w:val="20"/>
              </w:rPr>
            </w:pPr>
            <w:r w:rsidRPr="00286A2D">
              <w:rPr>
                <w:b/>
                <w:sz w:val="20"/>
                <w:szCs w:val="20"/>
              </w:rPr>
              <w:t>Risk Description</w:t>
            </w:r>
          </w:p>
        </w:tc>
        <w:tc>
          <w:tcPr>
            <w:tcW w:w="4387" w:type="dxa"/>
            <w:gridSpan w:val="2"/>
            <w:shd w:val="clear" w:color="auto" w:fill="FBD4B4" w:themeFill="accent6" w:themeFillTint="66"/>
            <w:vAlign w:val="center"/>
          </w:tcPr>
          <w:p w14:paraId="3C5B0452" w14:textId="77777777" w:rsidR="00292DD8" w:rsidRPr="00286A2D" w:rsidRDefault="00292DD8" w:rsidP="00292DD8">
            <w:pPr>
              <w:jc w:val="center"/>
              <w:rPr>
                <w:b/>
                <w:sz w:val="20"/>
                <w:szCs w:val="20"/>
              </w:rPr>
            </w:pPr>
            <w:r w:rsidRPr="00286A2D">
              <w:rPr>
                <w:b/>
                <w:sz w:val="20"/>
                <w:szCs w:val="20"/>
              </w:rPr>
              <w:t>Reasons or Causes</w:t>
            </w:r>
          </w:p>
        </w:tc>
        <w:tc>
          <w:tcPr>
            <w:tcW w:w="3688" w:type="dxa"/>
            <w:shd w:val="clear" w:color="auto" w:fill="FBD4B4" w:themeFill="accent6" w:themeFillTint="66"/>
            <w:vAlign w:val="center"/>
          </w:tcPr>
          <w:p w14:paraId="0AC188A5" w14:textId="77777777" w:rsidR="00292DD8" w:rsidRPr="00286A2D" w:rsidRDefault="00292DD8" w:rsidP="00292DD8">
            <w:pPr>
              <w:jc w:val="center"/>
              <w:rPr>
                <w:b/>
                <w:sz w:val="20"/>
                <w:szCs w:val="20"/>
              </w:rPr>
            </w:pPr>
            <w:r>
              <w:rPr>
                <w:b/>
                <w:sz w:val="20"/>
                <w:szCs w:val="20"/>
              </w:rPr>
              <w:t>Consequences</w:t>
            </w:r>
          </w:p>
        </w:tc>
        <w:tc>
          <w:tcPr>
            <w:tcW w:w="427" w:type="dxa"/>
            <w:shd w:val="clear" w:color="auto" w:fill="FBD4B4" w:themeFill="accent6" w:themeFillTint="66"/>
            <w:textDirection w:val="btLr"/>
            <w:vAlign w:val="center"/>
          </w:tcPr>
          <w:p w14:paraId="3DA3E707" w14:textId="77777777" w:rsidR="00292DD8" w:rsidRPr="00286A2D" w:rsidRDefault="00292DD8" w:rsidP="00292DD8">
            <w:pPr>
              <w:jc w:val="center"/>
              <w:rPr>
                <w:b/>
                <w:sz w:val="20"/>
                <w:szCs w:val="20"/>
              </w:rPr>
            </w:pPr>
            <w:r w:rsidRPr="00286A2D">
              <w:rPr>
                <w:b/>
                <w:sz w:val="20"/>
                <w:szCs w:val="20"/>
              </w:rPr>
              <w:t>Probability</w:t>
            </w:r>
          </w:p>
        </w:tc>
        <w:tc>
          <w:tcPr>
            <w:tcW w:w="428" w:type="dxa"/>
            <w:shd w:val="clear" w:color="auto" w:fill="FBD4B4" w:themeFill="accent6" w:themeFillTint="66"/>
            <w:textDirection w:val="btLr"/>
            <w:vAlign w:val="center"/>
          </w:tcPr>
          <w:p w14:paraId="53E2BD27" w14:textId="77777777" w:rsidR="00292DD8" w:rsidRPr="00286A2D" w:rsidRDefault="00292DD8" w:rsidP="00292DD8">
            <w:pPr>
              <w:jc w:val="center"/>
              <w:rPr>
                <w:b/>
                <w:sz w:val="20"/>
                <w:szCs w:val="20"/>
              </w:rPr>
            </w:pPr>
            <w:r w:rsidRPr="00286A2D">
              <w:rPr>
                <w:b/>
                <w:sz w:val="20"/>
                <w:szCs w:val="20"/>
              </w:rPr>
              <w:t>Impact</w:t>
            </w:r>
          </w:p>
        </w:tc>
        <w:tc>
          <w:tcPr>
            <w:tcW w:w="568" w:type="dxa"/>
            <w:shd w:val="clear" w:color="auto" w:fill="FBD4B4" w:themeFill="accent6" w:themeFillTint="66"/>
            <w:textDirection w:val="btLr"/>
            <w:vAlign w:val="center"/>
          </w:tcPr>
          <w:p w14:paraId="3C7F5131" w14:textId="77777777" w:rsidR="00292DD8" w:rsidRPr="00286A2D" w:rsidRDefault="00292DD8" w:rsidP="00292DD8">
            <w:pPr>
              <w:jc w:val="center"/>
              <w:rPr>
                <w:b/>
                <w:sz w:val="20"/>
                <w:szCs w:val="20"/>
              </w:rPr>
            </w:pPr>
            <w:r>
              <w:rPr>
                <w:b/>
                <w:sz w:val="20"/>
                <w:szCs w:val="20"/>
              </w:rPr>
              <w:t xml:space="preserve">Risk </w:t>
            </w:r>
            <w:r w:rsidRPr="00286A2D">
              <w:rPr>
                <w:b/>
                <w:sz w:val="20"/>
                <w:szCs w:val="20"/>
              </w:rPr>
              <w:t>Level</w:t>
            </w:r>
            <w:r>
              <w:rPr>
                <w:b/>
                <w:sz w:val="20"/>
                <w:szCs w:val="20"/>
              </w:rPr>
              <w:t xml:space="preserve"> (Reviewed)</w:t>
            </w:r>
          </w:p>
        </w:tc>
        <w:tc>
          <w:tcPr>
            <w:tcW w:w="5382" w:type="dxa"/>
            <w:shd w:val="clear" w:color="auto" w:fill="FBD4B4" w:themeFill="accent6" w:themeFillTint="66"/>
            <w:vAlign w:val="center"/>
          </w:tcPr>
          <w:p w14:paraId="7B5A9E56" w14:textId="77777777" w:rsidR="00292DD8" w:rsidRPr="00286A2D" w:rsidRDefault="00292DD8" w:rsidP="00292DD8">
            <w:pPr>
              <w:jc w:val="center"/>
              <w:rPr>
                <w:b/>
                <w:sz w:val="20"/>
                <w:szCs w:val="20"/>
              </w:rPr>
            </w:pPr>
            <w:r>
              <w:rPr>
                <w:b/>
                <w:sz w:val="20"/>
                <w:szCs w:val="20"/>
              </w:rPr>
              <w:t>Risk Treatment(s)</w:t>
            </w:r>
          </w:p>
        </w:tc>
        <w:tc>
          <w:tcPr>
            <w:tcW w:w="712" w:type="dxa"/>
            <w:shd w:val="clear" w:color="auto" w:fill="FBD4B4" w:themeFill="accent6" w:themeFillTint="66"/>
            <w:textDirection w:val="btLr"/>
            <w:vAlign w:val="center"/>
          </w:tcPr>
          <w:p w14:paraId="5E794BC4" w14:textId="77777777" w:rsidR="00292DD8" w:rsidRDefault="00292DD8" w:rsidP="00292DD8">
            <w:pPr>
              <w:ind w:left="113" w:right="113"/>
              <w:jc w:val="center"/>
              <w:rPr>
                <w:b/>
                <w:sz w:val="20"/>
                <w:szCs w:val="20"/>
              </w:rPr>
            </w:pPr>
            <w:r>
              <w:rPr>
                <w:b/>
                <w:sz w:val="20"/>
                <w:szCs w:val="20"/>
              </w:rPr>
              <w:t>Treatment Implementation</w:t>
            </w:r>
          </w:p>
        </w:tc>
        <w:tc>
          <w:tcPr>
            <w:tcW w:w="712" w:type="dxa"/>
            <w:shd w:val="clear" w:color="auto" w:fill="FBD4B4" w:themeFill="accent6" w:themeFillTint="66"/>
            <w:textDirection w:val="btLr"/>
            <w:vAlign w:val="center"/>
          </w:tcPr>
          <w:p w14:paraId="6E5C8839" w14:textId="77777777" w:rsidR="00292DD8" w:rsidRDefault="00292DD8" w:rsidP="00292DD8">
            <w:pPr>
              <w:jc w:val="center"/>
              <w:rPr>
                <w:b/>
                <w:sz w:val="20"/>
                <w:szCs w:val="20"/>
              </w:rPr>
            </w:pPr>
            <w:r>
              <w:rPr>
                <w:b/>
                <w:sz w:val="20"/>
                <w:szCs w:val="20"/>
              </w:rPr>
              <w:t>Post Treatment</w:t>
            </w:r>
          </w:p>
          <w:p w14:paraId="6EE2F3BB" w14:textId="77777777" w:rsidR="00292DD8" w:rsidRPr="00286A2D" w:rsidRDefault="00292DD8" w:rsidP="00292DD8">
            <w:pPr>
              <w:ind w:left="57" w:right="57"/>
              <w:jc w:val="center"/>
              <w:rPr>
                <w:b/>
                <w:sz w:val="20"/>
                <w:szCs w:val="20"/>
              </w:rPr>
            </w:pPr>
            <w:r>
              <w:rPr>
                <w:b/>
                <w:sz w:val="20"/>
                <w:szCs w:val="20"/>
              </w:rPr>
              <w:t>Impact</w:t>
            </w:r>
          </w:p>
        </w:tc>
        <w:tc>
          <w:tcPr>
            <w:tcW w:w="3398" w:type="dxa"/>
            <w:shd w:val="clear" w:color="auto" w:fill="FBD4B4" w:themeFill="accent6" w:themeFillTint="66"/>
            <w:vAlign w:val="center"/>
          </w:tcPr>
          <w:p w14:paraId="13AD450C" w14:textId="77777777" w:rsidR="00292DD8" w:rsidRPr="00286A2D" w:rsidRDefault="00292DD8" w:rsidP="00292DD8">
            <w:pPr>
              <w:jc w:val="center"/>
              <w:rPr>
                <w:b/>
                <w:sz w:val="20"/>
                <w:szCs w:val="20"/>
              </w:rPr>
            </w:pPr>
            <w:r>
              <w:rPr>
                <w:b/>
                <w:sz w:val="20"/>
                <w:szCs w:val="20"/>
              </w:rPr>
              <w:t>Comments / Examples</w:t>
            </w:r>
          </w:p>
        </w:tc>
      </w:tr>
      <w:tr w:rsidR="00292DD8" w:rsidRPr="00292DD8" w14:paraId="29F385E1" w14:textId="77777777" w:rsidTr="008E4383">
        <w:trPr>
          <w:gridAfter w:val="1"/>
          <w:wAfter w:w="6" w:type="dxa"/>
          <w:cantSplit/>
          <w:trHeight w:val="1809"/>
        </w:trPr>
        <w:tc>
          <w:tcPr>
            <w:tcW w:w="984" w:type="dxa"/>
            <w:tcBorders>
              <w:bottom w:val="single" w:sz="24" w:space="0" w:color="auto"/>
            </w:tcBorders>
            <w:shd w:val="clear" w:color="auto" w:fill="auto"/>
            <w:textDirection w:val="btLr"/>
            <w:vAlign w:val="center"/>
          </w:tcPr>
          <w:p w14:paraId="7133F1AB" w14:textId="77777777" w:rsidR="00DB648A" w:rsidRPr="00292DD8" w:rsidRDefault="00DB648A" w:rsidP="00A92280">
            <w:pPr>
              <w:jc w:val="center"/>
              <w:rPr>
                <w:color w:val="FF0000"/>
              </w:rPr>
            </w:pPr>
            <w:bookmarkStart w:id="2" w:name="_Hlk72332669"/>
          </w:p>
        </w:tc>
        <w:tc>
          <w:tcPr>
            <w:tcW w:w="1560" w:type="dxa"/>
            <w:tcBorders>
              <w:bottom w:val="single" w:sz="24" w:space="0" w:color="auto"/>
            </w:tcBorders>
            <w:shd w:val="clear" w:color="auto" w:fill="auto"/>
            <w:vAlign w:val="center"/>
          </w:tcPr>
          <w:p w14:paraId="70CB2AA0" w14:textId="77777777" w:rsidR="00DB648A" w:rsidRPr="00292DD8" w:rsidRDefault="00DB648A" w:rsidP="00A92280">
            <w:pPr>
              <w:jc w:val="center"/>
              <w:rPr>
                <w:b/>
                <w:color w:val="FF0000"/>
                <w:sz w:val="20"/>
                <w:szCs w:val="20"/>
              </w:rPr>
            </w:pPr>
          </w:p>
        </w:tc>
        <w:tc>
          <w:tcPr>
            <w:tcW w:w="4387" w:type="dxa"/>
            <w:gridSpan w:val="2"/>
            <w:tcBorders>
              <w:bottom w:val="single" w:sz="24" w:space="0" w:color="auto"/>
            </w:tcBorders>
            <w:shd w:val="clear" w:color="auto" w:fill="auto"/>
          </w:tcPr>
          <w:p w14:paraId="3D2F1F8E" w14:textId="4C9C42DE" w:rsidR="00DB648A" w:rsidRPr="0094380F" w:rsidRDefault="008C2AA6" w:rsidP="008E4383">
            <w:pPr>
              <w:spacing w:before="120" w:after="120"/>
              <w:rPr>
                <w:bCs/>
                <w:color w:val="000000" w:themeColor="text1"/>
                <w:sz w:val="20"/>
                <w:szCs w:val="20"/>
              </w:rPr>
            </w:pPr>
            <w:r w:rsidRPr="0094380F">
              <w:rPr>
                <w:bCs/>
                <w:color w:val="000000" w:themeColor="text1"/>
                <w:sz w:val="20"/>
                <w:szCs w:val="20"/>
              </w:rPr>
              <w:t>SAR incidents are often complex</w:t>
            </w:r>
            <w:r w:rsidR="008E4383" w:rsidRPr="0094380F">
              <w:rPr>
                <w:bCs/>
                <w:color w:val="000000" w:themeColor="text1"/>
                <w:sz w:val="20"/>
                <w:szCs w:val="20"/>
              </w:rPr>
              <w:t xml:space="preserve"> and </w:t>
            </w:r>
            <w:r w:rsidR="00D4381A" w:rsidRPr="0094380F">
              <w:rPr>
                <w:bCs/>
                <w:color w:val="000000" w:themeColor="text1"/>
                <w:sz w:val="20"/>
                <w:szCs w:val="20"/>
              </w:rPr>
              <w:t xml:space="preserve">dynamic </w:t>
            </w:r>
            <w:r w:rsidRPr="0094380F">
              <w:rPr>
                <w:bCs/>
                <w:color w:val="000000" w:themeColor="text1"/>
                <w:sz w:val="20"/>
                <w:szCs w:val="20"/>
              </w:rPr>
              <w:t>involving people from many organisations</w:t>
            </w:r>
            <w:r w:rsidR="00D4381A" w:rsidRPr="0094380F">
              <w:rPr>
                <w:bCs/>
                <w:color w:val="000000" w:themeColor="text1"/>
                <w:sz w:val="20"/>
                <w:szCs w:val="20"/>
              </w:rPr>
              <w:t>, undertaking a range of tasks and under the coordination of persons who may have limited knowledge of conditions where people are working.</w:t>
            </w:r>
          </w:p>
        </w:tc>
        <w:tc>
          <w:tcPr>
            <w:tcW w:w="3688" w:type="dxa"/>
            <w:tcBorders>
              <w:bottom w:val="single" w:sz="24" w:space="0" w:color="auto"/>
            </w:tcBorders>
            <w:shd w:val="clear" w:color="auto" w:fill="auto"/>
          </w:tcPr>
          <w:p w14:paraId="53DA65EC" w14:textId="0F828A68" w:rsidR="00DB648A" w:rsidRPr="0094380F" w:rsidRDefault="00D4381A" w:rsidP="008E4383">
            <w:pPr>
              <w:spacing w:before="120" w:after="120"/>
              <w:rPr>
                <w:bCs/>
                <w:color w:val="000000" w:themeColor="text1"/>
                <w:sz w:val="20"/>
                <w:szCs w:val="20"/>
              </w:rPr>
            </w:pPr>
            <w:r w:rsidRPr="0094380F">
              <w:rPr>
                <w:bCs/>
                <w:color w:val="000000" w:themeColor="text1"/>
                <w:sz w:val="20"/>
                <w:szCs w:val="20"/>
              </w:rPr>
              <w:t xml:space="preserve">The Sector accepts the notion of multiple and overlapping PCBUs.  But the sector does not have a common view of how </w:t>
            </w:r>
            <w:r w:rsidR="008E4383" w:rsidRPr="0094380F">
              <w:rPr>
                <w:bCs/>
                <w:color w:val="000000" w:themeColor="text1"/>
                <w:sz w:val="20"/>
                <w:szCs w:val="20"/>
              </w:rPr>
              <w:t xml:space="preserve">multiple and overlapping PCBUs </w:t>
            </w:r>
            <w:r w:rsidRPr="0094380F">
              <w:rPr>
                <w:bCs/>
                <w:color w:val="000000" w:themeColor="text1"/>
                <w:sz w:val="20"/>
                <w:szCs w:val="20"/>
              </w:rPr>
              <w:t xml:space="preserve">might be </w:t>
            </w:r>
            <w:r w:rsidR="008E4383" w:rsidRPr="0094380F">
              <w:rPr>
                <w:bCs/>
                <w:color w:val="000000" w:themeColor="text1"/>
                <w:sz w:val="20"/>
                <w:szCs w:val="20"/>
              </w:rPr>
              <w:t>work</w:t>
            </w:r>
            <w:r w:rsidRPr="0094380F">
              <w:rPr>
                <w:bCs/>
                <w:color w:val="000000" w:themeColor="text1"/>
                <w:sz w:val="20"/>
                <w:szCs w:val="20"/>
              </w:rPr>
              <w:t xml:space="preserve"> </w:t>
            </w:r>
            <w:r w:rsidR="008E4383" w:rsidRPr="0094380F">
              <w:rPr>
                <w:bCs/>
                <w:color w:val="000000" w:themeColor="text1"/>
                <w:sz w:val="20"/>
                <w:szCs w:val="20"/>
              </w:rPr>
              <w:t xml:space="preserve">in practice </w:t>
            </w:r>
            <w:r w:rsidR="00F27E5A" w:rsidRPr="0094380F">
              <w:rPr>
                <w:bCs/>
                <w:color w:val="000000" w:themeColor="text1"/>
                <w:sz w:val="20"/>
                <w:szCs w:val="20"/>
              </w:rPr>
              <w:t>for notifiable</w:t>
            </w:r>
            <w:r w:rsidRPr="0094380F">
              <w:rPr>
                <w:bCs/>
                <w:color w:val="000000" w:themeColor="text1"/>
                <w:sz w:val="20"/>
                <w:szCs w:val="20"/>
              </w:rPr>
              <w:t xml:space="preserve"> events</w:t>
            </w:r>
            <w:r w:rsidR="00F27E5A" w:rsidRPr="0094380F">
              <w:rPr>
                <w:bCs/>
                <w:color w:val="000000" w:themeColor="text1"/>
                <w:sz w:val="20"/>
                <w:szCs w:val="20"/>
              </w:rPr>
              <w:t xml:space="preserve"> or for </w:t>
            </w:r>
            <w:r w:rsidR="00515022" w:rsidRPr="0094380F">
              <w:rPr>
                <w:bCs/>
                <w:color w:val="000000" w:themeColor="text1"/>
                <w:sz w:val="20"/>
                <w:szCs w:val="20"/>
              </w:rPr>
              <w:t>psychosocial</w:t>
            </w:r>
            <w:r w:rsidR="00F27E5A" w:rsidRPr="0094380F">
              <w:rPr>
                <w:bCs/>
                <w:color w:val="000000" w:themeColor="text1"/>
                <w:sz w:val="20"/>
                <w:szCs w:val="20"/>
              </w:rPr>
              <w:t xml:space="preserve"> and wellbeing support</w:t>
            </w:r>
            <w:r w:rsidR="008E4383" w:rsidRPr="0094380F">
              <w:rPr>
                <w:bCs/>
                <w:color w:val="000000" w:themeColor="text1"/>
                <w:sz w:val="20"/>
                <w:szCs w:val="20"/>
              </w:rPr>
              <w:t xml:space="preserve">.  This confusion and concern </w:t>
            </w:r>
            <w:proofErr w:type="gramStart"/>
            <w:r w:rsidR="00F27E5A" w:rsidRPr="0094380F">
              <w:rPr>
                <w:bCs/>
                <w:color w:val="000000" w:themeColor="text1"/>
                <w:sz w:val="20"/>
                <w:szCs w:val="20"/>
              </w:rPr>
              <w:t>impacts</w:t>
            </w:r>
            <w:proofErr w:type="gramEnd"/>
            <w:r w:rsidR="008E4383" w:rsidRPr="0094380F">
              <w:rPr>
                <w:bCs/>
                <w:color w:val="000000" w:themeColor="text1"/>
                <w:sz w:val="20"/>
                <w:szCs w:val="20"/>
              </w:rPr>
              <w:t xml:space="preserve"> upon SAR peoples willingness to engage in SAR activities and the sector in general.</w:t>
            </w:r>
          </w:p>
        </w:tc>
        <w:tc>
          <w:tcPr>
            <w:tcW w:w="427" w:type="dxa"/>
            <w:tcBorders>
              <w:bottom w:val="single" w:sz="24" w:space="0" w:color="auto"/>
            </w:tcBorders>
            <w:shd w:val="clear" w:color="auto" w:fill="auto"/>
            <w:textDirection w:val="btLr"/>
            <w:vAlign w:val="center"/>
          </w:tcPr>
          <w:p w14:paraId="7C84F8AE" w14:textId="65C1E4BB" w:rsidR="00DB648A" w:rsidRPr="0094380F" w:rsidRDefault="008E4383" w:rsidP="00A92280">
            <w:pPr>
              <w:jc w:val="center"/>
              <w:rPr>
                <w:bCs/>
                <w:color w:val="000000" w:themeColor="text1"/>
                <w:sz w:val="20"/>
                <w:szCs w:val="20"/>
              </w:rPr>
            </w:pPr>
            <w:r w:rsidRPr="0094380F">
              <w:rPr>
                <w:bCs/>
                <w:color w:val="000000" w:themeColor="text1"/>
                <w:sz w:val="20"/>
                <w:szCs w:val="20"/>
              </w:rPr>
              <w:t>Certain</w:t>
            </w:r>
          </w:p>
        </w:tc>
        <w:tc>
          <w:tcPr>
            <w:tcW w:w="428" w:type="dxa"/>
            <w:tcBorders>
              <w:bottom w:val="single" w:sz="24" w:space="0" w:color="auto"/>
            </w:tcBorders>
            <w:shd w:val="clear" w:color="auto" w:fill="auto"/>
            <w:textDirection w:val="btLr"/>
            <w:vAlign w:val="center"/>
          </w:tcPr>
          <w:p w14:paraId="14452546" w14:textId="09DDE182" w:rsidR="00DB648A" w:rsidRPr="0094380F" w:rsidRDefault="008E4383" w:rsidP="00A92280">
            <w:pPr>
              <w:jc w:val="center"/>
              <w:rPr>
                <w:bCs/>
                <w:color w:val="000000" w:themeColor="text1"/>
                <w:sz w:val="20"/>
                <w:szCs w:val="20"/>
              </w:rPr>
            </w:pPr>
            <w:r w:rsidRPr="0094380F">
              <w:rPr>
                <w:bCs/>
                <w:color w:val="000000" w:themeColor="text1"/>
                <w:sz w:val="20"/>
                <w:szCs w:val="20"/>
              </w:rPr>
              <w:t>Moderate</w:t>
            </w:r>
          </w:p>
        </w:tc>
        <w:tc>
          <w:tcPr>
            <w:tcW w:w="568" w:type="dxa"/>
            <w:tcBorders>
              <w:bottom w:val="single" w:sz="24" w:space="0" w:color="auto"/>
            </w:tcBorders>
            <w:shd w:val="clear" w:color="auto" w:fill="FFFF00"/>
            <w:textDirection w:val="btLr"/>
            <w:vAlign w:val="center"/>
          </w:tcPr>
          <w:p w14:paraId="3BB39DDC" w14:textId="77777777" w:rsidR="00DB648A" w:rsidRPr="0094380F" w:rsidRDefault="00DB648A" w:rsidP="00A92280">
            <w:pPr>
              <w:jc w:val="center"/>
              <w:rPr>
                <w:b/>
                <w:color w:val="000000" w:themeColor="text1"/>
                <w:sz w:val="20"/>
                <w:szCs w:val="20"/>
              </w:rPr>
            </w:pPr>
          </w:p>
        </w:tc>
        <w:tc>
          <w:tcPr>
            <w:tcW w:w="5382" w:type="dxa"/>
            <w:tcBorders>
              <w:bottom w:val="single" w:sz="24" w:space="0" w:color="auto"/>
            </w:tcBorders>
            <w:shd w:val="clear" w:color="auto" w:fill="auto"/>
            <w:vAlign w:val="center"/>
          </w:tcPr>
          <w:p w14:paraId="5FED1A65" w14:textId="2D26EB80" w:rsidR="00292DD8" w:rsidRPr="0094380F" w:rsidRDefault="00292DD8" w:rsidP="00292DD8">
            <w:pPr>
              <w:pStyle w:val="BodyText"/>
              <w:spacing w:before="120" w:after="0"/>
              <w:rPr>
                <w:rFonts w:eastAsia="Times New Roman"/>
                <w:b/>
                <w:color w:val="000000" w:themeColor="text1"/>
                <w:sz w:val="20"/>
                <w:szCs w:val="20"/>
              </w:rPr>
            </w:pPr>
            <w:r w:rsidRPr="0094380F">
              <w:rPr>
                <w:rFonts w:eastAsia="Times New Roman"/>
                <w:b/>
                <w:color w:val="000000" w:themeColor="text1"/>
                <w:sz w:val="20"/>
                <w:szCs w:val="20"/>
              </w:rPr>
              <w:t xml:space="preserve">Treatment Option 2021/03/D:  Attain advice on </w:t>
            </w:r>
            <w:r w:rsidRPr="0094380F">
              <w:rPr>
                <w:rFonts w:eastAsia="Times New Roman"/>
                <w:b/>
                <w:bCs/>
                <w:color w:val="000000" w:themeColor="text1"/>
                <w:sz w:val="20"/>
                <w:szCs w:val="20"/>
              </w:rPr>
              <w:t>overlapping PCBUs duties regarding the Health and Safety at Work Act 2015 (HSWA 15).</w:t>
            </w:r>
          </w:p>
          <w:p w14:paraId="74BBD9EF" w14:textId="59DCCDB2" w:rsidR="00DB648A" w:rsidRPr="0094380F" w:rsidRDefault="00DB648A" w:rsidP="00292DD8">
            <w:pPr>
              <w:pStyle w:val="BodyText"/>
              <w:spacing w:before="120"/>
              <w:rPr>
                <w:b/>
                <w:color w:val="000000" w:themeColor="text1"/>
                <w:sz w:val="20"/>
                <w:szCs w:val="20"/>
              </w:rPr>
            </w:pPr>
            <w:r w:rsidRPr="0094380F">
              <w:rPr>
                <w:rFonts w:eastAsia="Times New Roman"/>
                <w:color w:val="000000" w:themeColor="text1"/>
                <w:sz w:val="20"/>
                <w:szCs w:val="20"/>
              </w:rPr>
              <w:t xml:space="preserve">NZSAR Secretariat to engage a contractor to provide advice and seek clarity on the responsibilities of the overlapping PCBUs duties regarding the Health and Safety at Work Act 2015 (HSWA 15) including but not limited to notifiable events and psychosocial risk/ wellbeing of SAR responders. </w:t>
            </w:r>
          </w:p>
        </w:tc>
        <w:tc>
          <w:tcPr>
            <w:tcW w:w="712" w:type="dxa"/>
            <w:tcBorders>
              <w:bottom w:val="single" w:sz="24" w:space="0" w:color="auto"/>
            </w:tcBorders>
            <w:shd w:val="clear" w:color="auto" w:fill="FFFF00"/>
            <w:textDirection w:val="btLr"/>
            <w:vAlign w:val="center"/>
          </w:tcPr>
          <w:p w14:paraId="65A49DEF" w14:textId="3F2EA02E" w:rsidR="00DB648A" w:rsidRPr="0094380F" w:rsidRDefault="008E4383" w:rsidP="00A92280">
            <w:pPr>
              <w:ind w:left="113" w:right="113"/>
              <w:jc w:val="center"/>
              <w:rPr>
                <w:b/>
                <w:color w:val="000000" w:themeColor="text1"/>
                <w:sz w:val="20"/>
                <w:szCs w:val="20"/>
              </w:rPr>
            </w:pPr>
            <w:r w:rsidRPr="0094380F">
              <w:rPr>
                <w:color w:val="000000" w:themeColor="text1"/>
                <w:sz w:val="20"/>
              </w:rPr>
              <w:t>Partial</w:t>
            </w:r>
          </w:p>
        </w:tc>
        <w:tc>
          <w:tcPr>
            <w:tcW w:w="712" w:type="dxa"/>
            <w:tcBorders>
              <w:bottom w:val="single" w:sz="24" w:space="0" w:color="auto"/>
            </w:tcBorders>
            <w:shd w:val="clear" w:color="auto" w:fill="00B050"/>
            <w:textDirection w:val="btLr"/>
            <w:vAlign w:val="center"/>
          </w:tcPr>
          <w:p w14:paraId="774BBA41" w14:textId="7216EA4D" w:rsidR="00DB648A" w:rsidRPr="0094380F" w:rsidRDefault="008E4383" w:rsidP="00A92280">
            <w:pPr>
              <w:jc w:val="center"/>
              <w:rPr>
                <w:bCs/>
                <w:color w:val="000000" w:themeColor="text1"/>
                <w:sz w:val="20"/>
                <w:szCs w:val="20"/>
              </w:rPr>
            </w:pPr>
            <w:r w:rsidRPr="0094380F">
              <w:rPr>
                <w:bCs/>
                <w:color w:val="000000" w:themeColor="text1"/>
                <w:sz w:val="20"/>
                <w:szCs w:val="20"/>
              </w:rPr>
              <w:t>2021/22</w:t>
            </w:r>
          </w:p>
        </w:tc>
        <w:tc>
          <w:tcPr>
            <w:tcW w:w="3398" w:type="dxa"/>
            <w:tcBorders>
              <w:bottom w:val="single" w:sz="24" w:space="0" w:color="auto"/>
            </w:tcBorders>
            <w:shd w:val="clear" w:color="auto" w:fill="auto"/>
          </w:tcPr>
          <w:p w14:paraId="2F35470D" w14:textId="06CC1756" w:rsidR="00DB648A" w:rsidRPr="0094380F" w:rsidRDefault="00292DD8" w:rsidP="008E4383">
            <w:pPr>
              <w:spacing w:before="120" w:after="120"/>
              <w:rPr>
                <w:b/>
                <w:color w:val="000000" w:themeColor="text1"/>
                <w:sz w:val="20"/>
                <w:szCs w:val="20"/>
              </w:rPr>
            </w:pPr>
            <w:r w:rsidRPr="0094380F">
              <w:rPr>
                <w:rFonts w:eastAsia="Times New Roman"/>
                <w:color w:val="000000" w:themeColor="text1"/>
                <w:sz w:val="20"/>
                <w:szCs w:val="20"/>
              </w:rPr>
              <w:t>The terms of reference for the contract to be agreed with the NZSAR Strategic Health, Safety &amp; Wellbeing Committee.</w:t>
            </w:r>
          </w:p>
        </w:tc>
      </w:tr>
      <w:bookmarkEnd w:id="2"/>
      <w:tr w:rsidR="00955915" w:rsidRPr="00286A2D" w14:paraId="4D830562" w14:textId="77777777" w:rsidTr="00292DD8">
        <w:trPr>
          <w:cantSplit/>
          <w:trHeight w:val="1474"/>
        </w:trPr>
        <w:tc>
          <w:tcPr>
            <w:tcW w:w="984" w:type="dxa"/>
            <w:vMerge w:val="restart"/>
            <w:tcBorders>
              <w:top w:val="single" w:sz="24" w:space="0" w:color="auto"/>
            </w:tcBorders>
          </w:tcPr>
          <w:p w14:paraId="4FDD05B4" w14:textId="4FC06A10" w:rsidR="00FF3721" w:rsidRPr="002D6CCE" w:rsidRDefault="00A95825" w:rsidP="00FF3721">
            <w:pPr>
              <w:pStyle w:val="BodyText"/>
              <w:spacing w:before="120" w:after="0"/>
              <w:rPr>
                <w:rFonts w:eastAsia="Times New Roman"/>
                <w:sz w:val="20"/>
                <w:szCs w:val="20"/>
              </w:rPr>
            </w:pPr>
            <w:r>
              <w:rPr>
                <w:rFonts w:eastAsia="Times New Roman"/>
                <w:sz w:val="20"/>
                <w:szCs w:val="20"/>
              </w:rPr>
              <w:t>202</w:t>
            </w:r>
            <w:r w:rsidR="0093342E">
              <w:rPr>
                <w:rFonts w:eastAsia="Times New Roman"/>
                <w:sz w:val="20"/>
                <w:szCs w:val="20"/>
              </w:rPr>
              <w:t>1</w:t>
            </w:r>
            <w:r w:rsidR="00FF3721" w:rsidRPr="002D6CCE">
              <w:rPr>
                <w:rFonts w:eastAsia="Times New Roman"/>
                <w:sz w:val="20"/>
                <w:szCs w:val="20"/>
              </w:rPr>
              <w:t>/0</w:t>
            </w:r>
            <w:r w:rsidR="00A92280">
              <w:rPr>
                <w:rFonts w:eastAsia="Times New Roman"/>
                <w:sz w:val="20"/>
                <w:szCs w:val="20"/>
              </w:rPr>
              <w:t>4</w:t>
            </w:r>
          </w:p>
        </w:tc>
        <w:tc>
          <w:tcPr>
            <w:tcW w:w="1568" w:type="dxa"/>
            <w:gridSpan w:val="2"/>
            <w:vMerge w:val="restart"/>
            <w:tcBorders>
              <w:top w:val="single" w:sz="24" w:space="0" w:color="auto"/>
            </w:tcBorders>
          </w:tcPr>
          <w:p w14:paraId="6D309C36" w14:textId="77777777" w:rsidR="00FF3721" w:rsidRDefault="00FF3721" w:rsidP="00FF3721">
            <w:pPr>
              <w:pStyle w:val="BodyText"/>
              <w:spacing w:before="120" w:after="0"/>
              <w:rPr>
                <w:rFonts w:eastAsia="Times New Roman"/>
                <w:b/>
                <w:sz w:val="20"/>
                <w:szCs w:val="20"/>
              </w:rPr>
            </w:pPr>
            <w:r>
              <w:rPr>
                <w:rFonts w:eastAsia="Times New Roman"/>
                <w:b/>
                <w:sz w:val="20"/>
                <w:szCs w:val="20"/>
              </w:rPr>
              <w:t xml:space="preserve">Cohesive and effective </w:t>
            </w:r>
            <w:r w:rsidRPr="00904DB1">
              <w:rPr>
                <w:rFonts w:eastAsia="Times New Roman"/>
                <w:b/>
                <w:sz w:val="20"/>
                <w:szCs w:val="20"/>
              </w:rPr>
              <w:t xml:space="preserve">SAR Training </w:t>
            </w:r>
          </w:p>
          <w:p w14:paraId="7CE5AAF1" w14:textId="77777777" w:rsidR="00FF3721" w:rsidRPr="00337399" w:rsidRDefault="00FF3721" w:rsidP="00FF3721">
            <w:pPr>
              <w:pStyle w:val="BodyText"/>
              <w:spacing w:before="120" w:after="0"/>
              <w:rPr>
                <w:rFonts w:eastAsia="Times New Roman"/>
                <w:sz w:val="20"/>
                <w:szCs w:val="20"/>
              </w:rPr>
            </w:pPr>
            <w:r>
              <w:rPr>
                <w:rFonts w:eastAsia="Times New Roman"/>
                <w:sz w:val="20"/>
                <w:szCs w:val="20"/>
              </w:rPr>
              <w:t xml:space="preserve">The competence and capability of </w:t>
            </w:r>
            <w:r w:rsidRPr="00337399">
              <w:rPr>
                <w:rFonts w:eastAsia="Times New Roman"/>
                <w:sz w:val="20"/>
                <w:szCs w:val="20"/>
              </w:rPr>
              <w:t xml:space="preserve">SAR </w:t>
            </w:r>
            <w:r>
              <w:rPr>
                <w:rFonts w:eastAsia="Times New Roman"/>
                <w:sz w:val="20"/>
                <w:szCs w:val="20"/>
              </w:rPr>
              <w:t xml:space="preserve">individuals is dependent on effective training and assessment.  SAR training is largely decentralised and varies significantly. </w:t>
            </w:r>
            <w:r w:rsidRPr="00337399">
              <w:rPr>
                <w:rFonts w:eastAsia="Times New Roman"/>
                <w:sz w:val="20"/>
                <w:szCs w:val="20"/>
              </w:rPr>
              <w:t xml:space="preserve"> </w:t>
            </w:r>
          </w:p>
        </w:tc>
        <w:tc>
          <w:tcPr>
            <w:tcW w:w="4379" w:type="dxa"/>
            <w:vMerge w:val="restart"/>
            <w:tcBorders>
              <w:top w:val="single" w:sz="24" w:space="0" w:color="auto"/>
            </w:tcBorders>
          </w:tcPr>
          <w:p w14:paraId="11DBCBFA" w14:textId="77777777" w:rsidR="00FF3721" w:rsidRDefault="00FF3721" w:rsidP="00FF3721">
            <w:pPr>
              <w:pStyle w:val="BodyTextIndentBullet"/>
              <w:numPr>
                <w:ilvl w:val="0"/>
                <w:numId w:val="0"/>
              </w:numPr>
              <w:spacing w:before="120"/>
              <w:ind w:left="44"/>
              <w:rPr>
                <w:szCs w:val="20"/>
              </w:rPr>
            </w:pPr>
            <w:r>
              <w:rPr>
                <w:szCs w:val="20"/>
              </w:rPr>
              <w:t>SAR training can be delivered within organisational silos and can differ within organisations.  The perspectives of individual organisations have frequently taken precedence over the needs and goals of the wider sector.</w:t>
            </w:r>
          </w:p>
          <w:p w14:paraId="382CE301" w14:textId="77777777" w:rsidR="00FF3721" w:rsidRPr="003A4A0B" w:rsidRDefault="00FF3721" w:rsidP="00FF3721">
            <w:pPr>
              <w:pStyle w:val="BodyText"/>
              <w:spacing w:before="120" w:after="0"/>
              <w:rPr>
                <w:rFonts w:eastAsia="Times New Roman"/>
                <w:sz w:val="20"/>
                <w:szCs w:val="20"/>
              </w:rPr>
            </w:pPr>
            <w:r w:rsidRPr="003A4A0B">
              <w:rPr>
                <w:rFonts w:eastAsia="Times New Roman"/>
                <w:sz w:val="20"/>
                <w:szCs w:val="20"/>
              </w:rPr>
              <w:t>Continuation</w:t>
            </w:r>
            <w:r>
              <w:rPr>
                <w:rFonts w:eastAsia="Times New Roman"/>
                <w:sz w:val="20"/>
                <w:szCs w:val="20"/>
              </w:rPr>
              <w:t xml:space="preserve"> or refresher t</w:t>
            </w:r>
            <w:r w:rsidRPr="003A4A0B">
              <w:rPr>
                <w:rFonts w:eastAsia="Times New Roman"/>
                <w:sz w:val="20"/>
                <w:szCs w:val="20"/>
              </w:rPr>
              <w:t>raining</w:t>
            </w:r>
            <w:r>
              <w:rPr>
                <w:rFonts w:eastAsia="Times New Roman"/>
                <w:sz w:val="20"/>
                <w:szCs w:val="20"/>
              </w:rPr>
              <w:t xml:space="preserve"> is often absent allowing skills to degrade over time</w:t>
            </w:r>
          </w:p>
          <w:p w14:paraId="2D0D6525" w14:textId="77777777" w:rsidR="00FF3721" w:rsidRPr="00213B1B" w:rsidRDefault="00FF3721" w:rsidP="00FF3721">
            <w:pPr>
              <w:pStyle w:val="BodyText"/>
              <w:spacing w:before="120" w:after="0"/>
              <w:rPr>
                <w:rFonts w:eastAsia="Times New Roman"/>
                <w:sz w:val="20"/>
                <w:szCs w:val="20"/>
              </w:rPr>
            </w:pPr>
            <w:r>
              <w:rPr>
                <w:rFonts w:eastAsia="Times New Roman"/>
                <w:sz w:val="20"/>
                <w:szCs w:val="20"/>
              </w:rPr>
              <w:t>S</w:t>
            </w:r>
            <w:r w:rsidRPr="00213B1B">
              <w:rPr>
                <w:rFonts w:eastAsia="Times New Roman"/>
                <w:sz w:val="20"/>
                <w:szCs w:val="20"/>
              </w:rPr>
              <w:t xml:space="preserve">earch management </w:t>
            </w:r>
            <w:r>
              <w:rPr>
                <w:rFonts w:eastAsia="Times New Roman"/>
                <w:sz w:val="20"/>
                <w:szCs w:val="20"/>
              </w:rPr>
              <w:t xml:space="preserve">arrangements and skills can be deficient </w:t>
            </w:r>
            <w:r w:rsidRPr="00213B1B">
              <w:rPr>
                <w:rFonts w:eastAsia="Times New Roman"/>
                <w:sz w:val="20"/>
                <w:szCs w:val="20"/>
              </w:rPr>
              <w:t xml:space="preserve">resulting </w:t>
            </w:r>
            <w:r>
              <w:rPr>
                <w:rFonts w:eastAsia="Times New Roman"/>
                <w:sz w:val="20"/>
                <w:szCs w:val="20"/>
              </w:rPr>
              <w:t xml:space="preserve">in inadequate search effectiveness and potentially </w:t>
            </w:r>
            <w:r w:rsidRPr="00213B1B">
              <w:rPr>
                <w:rFonts w:eastAsia="Times New Roman"/>
                <w:sz w:val="20"/>
                <w:szCs w:val="20"/>
              </w:rPr>
              <w:t>external investigation and/or criticism.</w:t>
            </w:r>
          </w:p>
          <w:p w14:paraId="75EE16BA" w14:textId="77777777" w:rsidR="00FF3721" w:rsidRDefault="00FF3721" w:rsidP="00FF3721">
            <w:pPr>
              <w:pStyle w:val="BodyText"/>
              <w:spacing w:before="120" w:after="0"/>
              <w:rPr>
                <w:rFonts w:eastAsia="Times New Roman"/>
                <w:sz w:val="20"/>
                <w:szCs w:val="20"/>
              </w:rPr>
            </w:pPr>
            <w:bookmarkStart w:id="3" w:name="_Toc350781733"/>
            <w:r>
              <w:rPr>
                <w:rFonts w:eastAsia="Times New Roman"/>
                <w:sz w:val="20"/>
                <w:szCs w:val="20"/>
              </w:rPr>
              <w:t xml:space="preserve">The SAR sector’s training </w:t>
            </w:r>
            <w:bookmarkEnd w:id="3"/>
            <w:r>
              <w:rPr>
                <w:rFonts w:eastAsia="Times New Roman"/>
                <w:sz w:val="20"/>
                <w:szCs w:val="20"/>
              </w:rPr>
              <w:t>is largely conducted within organisational silos and is not united by collectively agreed doctrine.</w:t>
            </w:r>
          </w:p>
          <w:p w14:paraId="49EAD90D" w14:textId="77777777" w:rsidR="00FF3721" w:rsidRPr="00E0317D" w:rsidRDefault="00FF3721" w:rsidP="00FF3721">
            <w:pPr>
              <w:pStyle w:val="BodyText"/>
              <w:spacing w:before="120" w:after="0"/>
              <w:rPr>
                <w:rFonts w:eastAsia="Times New Roman"/>
                <w:color w:val="000000" w:themeColor="text1"/>
                <w:sz w:val="20"/>
                <w:szCs w:val="20"/>
              </w:rPr>
            </w:pPr>
            <w:r w:rsidRPr="00E0317D">
              <w:rPr>
                <w:rFonts w:eastAsia="Times New Roman"/>
                <w:color w:val="000000" w:themeColor="text1"/>
                <w:sz w:val="20"/>
                <w:szCs w:val="20"/>
              </w:rPr>
              <w:t>Funding sufficiency and/or volatility (see Risk 2018/02)</w:t>
            </w:r>
          </w:p>
          <w:p w14:paraId="5195AEC0" w14:textId="77777777" w:rsidR="00FF3721" w:rsidRPr="00DA51F3" w:rsidRDefault="00FF3721" w:rsidP="00FF3721">
            <w:pPr>
              <w:pStyle w:val="BodyTextIndentBullet"/>
              <w:numPr>
                <w:ilvl w:val="0"/>
                <w:numId w:val="0"/>
              </w:numPr>
              <w:spacing w:before="120"/>
              <w:ind w:left="44"/>
              <w:rPr>
                <w:szCs w:val="20"/>
              </w:rPr>
            </w:pPr>
          </w:p>
        </w:tc>
        <w:tc>
          <w:tcPr>
            <w:tcW w:w="3688" w:type="dxa"/>
            <w:vMerge w:val="restart"/>
            <w:tcBorders>
              <w:top w:val="single" w:sz="24" w:space="0" w:color="auto"/>
            </w:tcBorders>
          </w:tcPr>
          <w:p w14:paraId="765DCC38" w14:textId="77777777" w:rsidR="00FF3721" w:rsidRDefault="00FF3721" w:rsidP="00FF3721">
            <w:pPr>
              <w:pStyle w:val="BodyText"/>
              <w:spacing w:before="120" w:after="0"/>
              <w:rPr>
                <w:rFonts w:eastAsia="Times New Roman"/>
                <w:sz w:val="20"/>
                <w:szCs w:val="20"/>
              </w:rPr>
            </w:pPr>
            <w:r>
              <w:rPr>
                <w:rFonts w:eastAsia="Times New Roman"/>
                <w:sz w:val="20"/>
                <w:szCs w:val="20"/>
              </w:rPr>
              <w:t>Training variances can impact on sector collaboration and degrade inter agency and internal cohesion.  Training divergence can lead to i</w:t>
            </w:r>
            <w:r w:rsidRPr="005132BD">
              <w:rPr>
                <w:rFonts w:eastAsia="Times New Roman"/>
                <w:sz w:val="20"/>
                <w:szCs w:val="20"/>
              </w:rPr>
              <w:t>ncompatible incident management systems</w:t>
            </w:r>
            <w:r>
              <w:rPr>
                <w:rFonts w:eastAsia="Times New Roman"/>
                <w:sz w:val="20"/>
                <w:szCs w:val="20"/>
              </w:rPr>
              <w:t xml:space="preserve">, different understanding of </w:t>
            </w:r>
            <w:r w:rsidRPr="005132BD">
              <w:rPr>
                <w:rFonts w:eastAsia="Times New Roman"/>
                <w:sz w:val="20"/>
                <w:szCs w:val="20"/>
              </w:rPr>
              <w:t xml:space="preserve">language </w:t>
            </w:r>
            <w:r>
              <w:rPr>
                <w:rFonts w:eastAsia="Times New Roman"/>
                <w:sz w:val="20"/>
                <w:szCs w:val="20"/>
              </w:rPr>
              <w:t xml:space="preserve">and incompatible </w:t>
            </w:r>
            <w:r w:rsidRPr="005132BD">
              <w:rPr>
                <w:rFonts w:eastAsia="Times New Roman"/>
                <w:sz w:val="20"/>
                <w:szCs w:val="20"/>
              </w:rPr>
              <w:t>expectations</w:t>
            </w:r>
            <w:r>
              <w:rPr>
                <w:rFonts w:eastAsia="Times New Roman"/>
                <w:sz w:val="20"/>
                <w:szCs w:val="20"/>
              </w:rPr>
              <w:t xml:space="preserve">, </w:t>
            </w:r>
            <w:r w:rsidRPr="005132BD">
              <w:rPr>
                <w:rFonts w:eastAsia="Times New Roman"/>
                <w:sz w:val="20"/>
                <w:szCs w:val="20"/>
              </w:rPr>
              <w:t xml:space="preserve">SAR processes and priorities.  </w:t>
            </w:r>
          </w:p>
          <w:p w14:paraId="077083B2" w14:textId="77777777" w:rsidR="00FF3721" w:rsidRDefault="00FF3721" w:rsidP="00FF3721">
            <w:pPr>
              <w:pStyle w:val="BodyText"/>
              <w:spacing w:before="120" w:after="0"/>
              <w:rPr>
                <w:rFonts w:eastAsia="Times New Roman"/>
                <w:sz w:val="20"/>
                <w:szCs w:val="20"/>
              </w:rPr>
            </w:pPr>
            <w:r w:rsidRPr="005132BD">
              <w:rPr>
                <w:rFonts w:eastAsia="Times New Roman"/>
                <w:sz w:val="20"/>
                <w:szCs w:val="20"/>
              </w:rPr>
              <w:t>T</w:t>
            </w:r>
            <w:r>
              <w:rPr>
                <w:rFonts w:eastAsia="Times New Roman"/>
                <w:sz w:val="20"/>
                <w:szCs w:val="20"/>
              </w:rPr>
              <w:t xml:space="preserve">hese factors can contribute to deficient SAR services, </w:t>
            </w:r>
            <w:proofErr w:type="gramStart"/>
            <w:r>
              <w:rPr>
                <w:rFonts w:eastAsia="Times New Roman"/>
                <w:sz w:val="20"/>
                <w:szCs w:val="20"/>
              </w:rPr>
              <w:t>inefficiencies</w:t>
            </w:r>
            <w:proofErr w:type="gramEnd"/>
            <w:r>
              <w:rPr>
                <w:rFonts w:eastAsia="Times New Roman"/>
                <w:sz w:val="20"/>
                <w:szCs w:val="20"/>
              </w:rPr>
              <w:t xml:space="preserve"> and potentially avoidable loss of life.</w:t>
            </w:r>
            <w:r w:rsidRPr="00213B1B">
              <w:rPr>
                <w:rFonts w:eastAsia="Times New Roman"/>
                <w:sz w:val="20"/>
                <w:szCs w:val="20"/>
              </w:rPr>
              <w:t xml:space="preserve"> </w:t>
            </w:r>
          </w:p>
          <w:p w14:paraId="0279072E" w14:textId="77777777" w:rsidR="00FF3721" w:rsidRPr="00213B1B" w:rsidRDefault="00FF3721" w:rsidP="00FF3721">
            <w:pPr>
              <w:pStyle w:val="BodyText"/>
              <w:spacing w:before="120" w:after="0"/>
              <w:rPr>
                <w:rFonts w:eastAsia="Times New Roman"/>
                <w:sz w:val="20"/>
                <w:szCs w:val="20"/>
              </w:rPr>
            </w:pPr>
            <w:r>
              <w:rPr>
                <w:rFonts w:eastAsia="Times New Roman"/>
                <w:sz w:val="20"/>
                <w:szCs w:val="20"/>
              </w:rPr>
              <w:t>They can also lead to d</w:t>
            </w:r>
            <w:r w:rsidRPr="00213B1B">
              <w:rPr>
                <w:rFonts w:eastAsia="Times New Roman"/>
                <w:sz w:val="20"/>
                <w:szCs w:val="20"/>
              </w:rPr>
              <w:t>amage to the reputation of the NZ Search and Rescue community.</w:t>
            </w:r>
            <w:r>
              <w:rPr>
                <w:rFonts w:eastAsia="Times New Roman"/>
                <w:sz w:val="20"/>
                <w:szCs w:val="20"/>
              </w:rPr>
              <w:t xml:space="preserve"> And harm New Zealand’s international reputation as</w:t>
            </w:r>
            <w:r w:rsidRPr="00213B1B">
              <w:rPr>
                <w:rFonts w:eastAsia="Times New Roman"/>
                <w:sz w:val="20"/>
                <w:szCs w:val="20"/>
              </w:rPr>
              <w:t xml:space="preserve"> a safe destination for adventure tourism.</w:t>
            </w:r>
          </w:p>
          <w:p w14:paraId="78151612" w14:textId="77777777" w:rsidR="00FF3721" w:rsidRPr="005132BD" w:rsidRDefault="00FF3721" w:rsidP="00FF3721">
            <w:pPr>
              <w:pStyle w:val="BodyText"/>
              <w:spacing w:before="120" w:after="0"/>
            </w:pPr>
          </w:p>
        </w:tc>
        <w:tc>
          <w:tcPr>
            <w:tcW w:w="427" w:type="dxa"/>
            <w:vMerge w:val="restart"/>
            <w:tcBorders>
              <w:top w:val="single" w:sz="24" w:space="0" w:color="auto"/>
            </w:tcBorders>
            <w:textDirection w:val="btLr"/>
            <w:vAlign w:val="bottom"/>
          </w:tcPr>
          <w:p w14:paraId="5BFCB0BE" w14:textId="77777777" w:rsidR="00FF3721" w:rsidRPr="00286A2D" w:rsidRDefault="00FF3721" w:rsidP="00FF3721">
            <w:pPr>
              <w:pStyle w:val="Heading2"/>
              <w:spacing w:before="120" w:line="360" w:lineRule="auto"/>
              <w:ind w:left="113" w:right="113"/>
              <w:jc w:val="center"/>
              <w:outlineLvl w:val="1"/>
              <w:rPr>
                <w:b w:val="0"/>
                <w:color w:val="auto"/>
                <w:sz w:val="20"/>
              </w:rPr>
            </w:pPr>
            <w:r>
              <w:rPr>
                <w:b w:val="0"/>
                <w:color w:val="auto"/>
                <w:sz w:val="20"/>
              </w:rPr>
              <w:t>High</w:t>
            </w:r>
          </w:p>
        </w:tc>
        <w:tc>
          <w:tcPr>
            <w:tcW w:w="428" w:type="dxa"/>
            <w:vMerge w:val="restart"/>
            <w:tcBorders>
              <w:top w:val="single" w:sz="24" w:space="0" w:color="auto"/>
            </w:tcBorders>
            <w:textDirection w:val="btLr"/>
            <w:vAlign w:val="bottom"/>
          </w:tcPr>
          <w:p w14:paraId="081551B4" w14:textId="77777777" w:rsidR="00FF3721" w:rsidRPr="00286A2D" w:rsidRDefault="00FF3721" w:rsidP="00FF3721">
            <w:pPr>
              <w:pStyle w:val="Heading2"/>
              <w:spacing w:before="120" w:line="360" w:lineRule="auto"/>
              <w:ind w:left="113" w:right="113"/>
              <w:jc w:val="center"/>
              <w:outlineLvl w:val="1"/>
              <w:rPr>
                <w:b w:val="0"/>
                <w:color w:val="auto"/>
                <w:sz w:val="20"/>
              </w:rPr>
            </w:pPr>
            <w:r>
              <w:rPr>
                <w:b w:val="0"/>
                <w:color w:val="auto"/>
                <w:sz w:val="20"/>
              </w:rPr>
              <w:t>Moderate</w:t>
            </w:r>
          </w:p>
        </w:tc>
        <w:tc>
          <w:tcPr>
            <w:tcW w:w="568" w:type="dxa"/>
            <w:tcBorders>
              <w:top w:val="single" w:sz="24" w:space="0" w:color="auto"/>
            </w:tcBorders>
            <w:shd w:val="clear" w:color="auto" w:fill="FFFF00"/>
            <w:textDirection w:val="btLr"/>
          </w:tcPr>
          <w:p w14:paraId="34EC105A" w14:textId="00775D06" w:rsidR="00FF3721" w:rsidRPr="00515022" w:rsidRDefault="00FF3721" w:rsidP="00FF3721">
            <w:pPr>
              <w:jc w:val="center"/>
              <w:rPr>
                <w:bCs/>
                <w:sz w:val="20"/>
                <w:szCs w:val="20"/>
              </w:rPr>
            </w:pPr>
            <w:r w:rsidRPr="00515022">
              <w:rPr>
                <w:bCs/>
                <w:sz w:val="20"/>
                <w:szCs w:val="20"/>
              </w:rPr>
              <w:t>(July 19)</w:t>
            </w:r>
          </w:p>
        </w:tc>
        <w:tc>
          <w:tcPr>
            <w:tcW w:w="5382" w:type="dxa"/>
            <w:tcBorders>
              <w:top w:val="single" w:sz="24" w:space="0" w:color="auto"/>
            </w:tcBorders>
          </w:tcPr>
          <w:p w14:paraId="5F3C1BBE" w14:textId="11F853E4" w:rsidR="00FF3721" w:rsidRDefault="00FF3721" w:rsidP="00FF3721">
            <w:pPr>
              <w:pStyle w:val="BodyText"/>
              <w:spacing w:before="120" w:after="0"/>
              <w:rPr>
                <w:rFonts w:eastAsia="Times New Roman"/>
                <w:b/>
                <w:sz w:val="20"/>
                <w:szCs w:val="20"/>
              </w:rPr>
            </w:pPr>
            <w:r w:rsidRPr="009441E2">
              <w:rPr>
                <w:rFonts w:eastAsia="Times New Roman"/>
                <w:b/>
                <w:sz w:val="20"/>
                <w:szCs w:val="20"/>
              </w:rPr>
              <w:t xml:space="preserve">Risk treatment </w:t>
            </w:r>
            <w:r w:rsidR="00A95825">
              <w:rPr>
                <w:rFonts w:eastAsia="Times New Roman"/>
                <w:b/>
                <w:sz w:val="20"/>
                <w:szCs w:val="20"/>
              </w:rPr>
              <w:t>202</w:t>
            </w:r>
            <w:r w:rsidR="00B56CF5">
              <w:rPr>
                <w:rFonts w:eastAsia="Times New Roman"/>
                <w:b/>
                <w:sz w:val="20"/>
                <w:szCs w:val="20"/>
              </w:rPr>
              <w:t>1</w:t>
            </w:r>
            <w:r w:rsidRPr="009441E2">
              <w:rPr>
                <w:rFonts w:eastAsia="Times New Roman"/>
                <w:b/>
                <w:sz w:val="20"/>
                <w:szCs w:val="20"/>
              </w:rPr>
              <w:t>/0</w:t>
            </w:r>
            <w:r w:rsidR="008A2A89">
              <w:rPr>
                <w:rFonts w:eastAsia="Times New Roman"/>
                <w:b/>
                <w:sz w:val="20"/>
                <w:szCs w:val="20"/>
              </w:rPr>
              <w:t>4</w:t>
            </w:r>
            <w:r w:rsidRPr="009441E2">
              <w:rPr>
                <w:rFonts w:eastAsia="Times New Roman"/>
                <w:b/>
                <w:sz w:val="20"/>
                <w:szCs w:val="20"/>
              </w:rPr>
              <w:t>/</w:t>
            </w:r>
            <w:r>
              <w:rPr>
                <w:rFonts w:eastAsia="Times New Roman"/>
                <w:b/>
                <w:sz w:val="20"/>
                <w:szCs w:val="20"/>
              </w:rPr>
              <w:t>A</w:t>
            </w:r>
            <w:r w:rsidRPr="009441E2">
              <w:rPr>
                <w:rFonts w:eastAsia="Times New Roman"/>
                <w:b/>
                <w:sz w:val="20"/>
                <w:szCs w:val="20"/>
              </w:rPr>
              <w:t>:</w:t>
            </w:r>
            <w:r>
              <w:rPr>
                <w:rFonts w:eastAsia="Times New Roman"/>
                <w:b/>
                <w:sz w:val="20"/>
                <w:szCs w:val="20"/>
              </w:rPr>
              <w:t xml:space="preserve">  Suitable individual SAR skill acquisition </w:t>
            </w:r>
            <w:r w:rsidRPr="00ED2107">
              <w:rPr>
                <w:rFonts w:eastAsia="Times New Roman"/>
                <w:b/>
                <w:sz w:val="20"/>
                <w:szCs w:val="20"/>
              </w:rPr>
              <w:t>training</w:t>
            </w:r>
            <w:r>
              <w:rPr>
                <w:rFonts w:eastAsia="Times New Roman"/>
                <w:b/>
                <w:sz w:val="20"/>
                <w:szCs w:val="20"/>
              </w:rPr>
              <w:t xml:space="preserve"> is agreed, available, funded and fit for purpose. </w:t>
            </w:r>
          </w:p>
          <w:p w14:paraId="20013A11" w14:textId="50FA3F5B" w:rsidR="00FF3721" w:rsidRPr="00E216F2" w:rsidRDefault="00FF3721" w:rsidP="00FF3721">
            <w:pPr>
              <w:pStyle w:val="BodyText"/>
              <w:spacing w:before="120" w:after="0"/>
              <w:rPr>
                <w:rFonts w:eastAsia="Times New Roman"/>
                <w:sz w:val="20"/>
                <w:szCs w:val="20"/>
              </w:rPr>
            </w:pPr>
            <w:r>
              <w:rPr>
                <w:rFonts w:eastAsia="Times New Roman"/>
                <w:sz w:val="20"/>
                <w:szCs w:val="20"/>
              </w:rPr>
              <w:t>Sector agreed and fit-for-purpose</w:t>
            </w:r>
            <w:r w:rsidR="002A30A0">
              <w:rPr>
                <w:rFonts w:eastAsia="Times New Roman"/>
                <w:sz w:val="20"/>
                <w:szCs w:val="20"/>
              </w:rPr>
              <w:t>,</w:t>
            </w:r>
            <w:r>
              <w:rPr>
                <w:rFonts w:eastAsia="Times New Roman"/>
                <w:sz w:val="20"/>
                <w:szCs w:val="20"/>
              </w:rPr>
              <w:t xml:space="preserve"> fees free SAR skill acquisition training is readily available for SAR people so that they may achieve the relevant SAR competencies at no cost to themselves. </w:t>
            </w:r>
          </w:p>
        </w:tc>
        <w:tc>
          <w:tcPr>
            <w:tcW w:w="712" w:type="dxa"/>
            <w:tcBorders>
              <w:top w:val="single" w:sz="24" w:space="0" w:color="auto"/>
            </w:tcBorders>
            <w:shd w:val="clear" w:color="auto" w:fill="00B050"/>
            <w:textDirection w:val="btLr"/>
            <w:vAlign w:val="center"/>
          </w:tcPr>
          <w:p w14:paraId="571053AF" w14:textId="26763DB0" w:rsidR="004D3742" w:rsidRPr="004D3742" w:rsidRDefault="008E464A" w:rsidP="008E464A">
            <w:pPr>
              <w:ind w:left="113" w:right="113"/>
              <w:jc w:val="center"/>
              <w:rPr>
                <w:sz w:val="20"/>
                <w:szCs w:val="20"/>
              </w:rPr>
            </w:pPr>
            <w:r>
              <w:rPr>
                <w:sz w:val="20"/>
                <w:szCs w:val="20"/>
              </w:rPr>
              <w:t>Full</w:t>
            </w:r>
          </w:p>
        </w:tc>
        <w:tc>
          <w:tcPr>
            <w:tcW w:w="712" w:type="dxa"/>
            <w:tcBorders>
              <w:top w:val="single" w:sz="24" w:space="0" w:color="auto"/>
            </w:tcBorders>
            <w:shd w:val="clear" w:color="auto" w:fill="00B050"/>
            <w:textDirection w:val="btLr"/>
            <w:vAlign w:val="center"/>
          </w:tcPr>
          <w:p w14:paraId="6A1D632F" w14:textId="316DA99A" w:rsidR="00FF3721" w:rsidRPr="00F70EC1" w:rsidRDefault="00FF3721" w:rsidP="00FF3721">
            <w:pPr>
              <w:ind w:left="113" w:right="113"/>
              <w:jc w:val="center"/>
              <w:rPr>
                <w:sz w:val="20"/>
                <w:szCs w:val="20"/>
              </w:rPr>
            </w:pPr>
            <w:r w:rsidRPr="00F70EC1">
              <w:rPr>
                <w:sz w:val="20"/>
                <w:szCs w:val="20"/>
              </w:rPr>
              <w:t>Ongoing</w:t>
            </w:r>
          </w:p>
        </w:tc>
        <w:tc>
          <w:tcPr>
            <w:tcW w:w="3404" w:type="dxa"/>
            <w:gridSpan w:val="2"/>
          </w:tcPr>
          <w:p w14:paraId="0472E715" w14:textId="77777777" w:rsidR="00FF3721" w:rsidRDefault="00FF3721" w:rsidP="00FF3721">
            <w:pPr>
              <w:pStyle w:val="Heading2"/>
              <w:spacing w:before="0"/>
              <w:outlineLvl w:val="1"/>
              <w:rPr>
                <w:b w:val="0"/>
                <w:color w:val="auto"/>
                <w:sz w:val="20"/>
              </w:rPr>
            </w:pPr>
          </w:p>
          <w:p w14:paraId="74F09B4E" w14:textId="3F402E5E" w:rsidR="00FF3721" w:rsidRPr="007F312C" w:rsidRDefault="00FF3721" w:rsidP="002A30A0">
            <w:pPr>
              <w:pStyle w:val="BodyText"/>
            </w:pPr>
          </w:p>
        </w:tc>
      </w:tr>
      <w:tr w:rsidR="00955915" w:rsidRPr="00286A2D" w14:paraId="5BB20F49" w14:textId="77777777" w:rsidTr="00292DD8">
        <w:trPr>
          <w:cantSplit/>
          <w:trHeight w:val="1349"/>
        </w:trPr>
        <w:tc>
          <w:tcPr>
            <w:tcW w:w="984" w:type="dxa"/>
            <w:vMerge/>
          </w:tcPr>
          <w:p w14:paraId="367258CB" w14:textId="77777777" w:rsidR="00FF3721" w:rsidRPr="002D6CCE" w:rsidRDefault="00FF3721" w:rsidP="00FF3721">
            <w:pPr>
              <w:pStyle w:val="BodyText"/>
              <w:spacing w:before="120" w:after="0"/>
              <w:rPr>
                <w:rFonts w:eastAsia="Times New Roman"/>
                <w:sz w:val="20"/>
                <w:szCs w:val="20"/>
              </w:rPr>
            </w:pPr>
          </w:p>
        </w:tc>
        <w:tc>
          <w:tcPr>
            <w:tcW w:w="1568" w:type="dxa"/>
            <w:gridSpan w:val="2"/>
            <w:vMerge/>
          </w:tcPr>
          <w:p w14:paraId="5BC53591" w14:textId="77777777" w:rsidR="00FF3721" w:rsidRPr="002D6CCE" w:rsidRDefault="00FF3721" w:rsidP="00FF3721">
            <w:pPr>
              <w:pStyle w:val="BodyText"/>
              <w:spacing w:before="120" w:after="0"/>
              <w:rPr>
                <w:rFonts w:eastAsia="Times New Roman"/>
                <w:sz w:val="20"/>
                <w:szCs w:val="20"/>
              </w:rPr>
            </w:pPr>
          </w:p>
        </w:tc>
        <w:tc>
          <w:tcPr>
            <w:tcW w:w="4379" w:type="dxa"/>
            <w:vMerge/>
          </w:tcPr>
          <w:p w14:paraId="37A4E301" w14:textId="77777777" w:rsidR="00FF3721" w:rsidRDefault="00FF3721" w:rsidP="00FF3721">
            <w:pPr>
              <w:pStyle w:val="BodyTextIndentBullet"/>
              <w:numPr>
                <w:ilvl w:val="0"/>
                <w:numId w:val="0"/>
              </w:numPr>
              <w:spacing w:before="120"/>
              <w:ind w:left="44"/>
              <w:rPr>
                <w:szCs w:val="20"/>
              </w:rPr>
            </w:pPr>
          </w:p>
        </w:tc>
        <w:tc>
          <w:tcPr>
            <w:tcW w:w="3688" w:type="dxa"/>
            <w:vMerge/>
          </w:tcPr>
          <w:p w14:paraId="4BA56359" w14:textId="77777777" w:rsidR="00FF3721" w:rsidRDefault="00FF3721" w:rsidP="00FF3721">
            <w:pPr>
              <w:pStyle w:val="BodyText"/>
              <w:spacing w:before="120" w:after="0"/>
              <w:rPr>
                <w:rFonts w:eastAsia="Times New Roman"/>
                <w:sz w:val="20"/>
                <w:szCs w:val="20"/>
              </w:rPr>
            </w:pPr>
          </w:p>
        </w:tc>
        <w:tc>
          <w:tcPr>
            <w:tcW w:w="427" w:type="dxa"/>
            <w:vMerge/>
            <w:textDirection w:val="btLr"/>
            <w:vAlign w:val="center"/>
          </w:tcPr>
          <w:p w14:paraId="22E119D6" w14:textId="77777777" w:rsidR="00FF3721" w:rsidRPr="00286A2D" w:rsidRDefault="00FF3721" w:rsidP="00FF3721">
            <w:pPr>
              <w:pStyle w:val="Heading2"/>
              <w:spacing w:before="120" w:line="360" w:lineRule="auto"/>
              <w:ind w:left="113" w:right="113"/>
              <w:jc w:val="center"/>
              <w:outlineLvl w:val="1"/>
              <w:rPr>
                <w:b w:val="0"/>
                <w:color w:val="auto"/>
                <w:sz w:val="20"/>
              </w:rPr>
            </w:pPr>
          </w:p>
        </w:tc>
        <w:tc>
          <w:tcPr>
            <w:tcW w:w="428" w:type="dxa"/>
            <w:vMerge/>
            <w:textDirection w:val="btLr"/>
            <w:vAlign w:val="center"/>
          </w:tcPr>
          <w:p w14:paraId="30A8EBAD" w14:textId="77777777" w:rsidR="00FF3721" w:rsidRPr="00286A2D" w:rsidRDefault="00FF3721" w:rsidP="00FF3721">
            <w:pPr>
              <w:pStyle w:val="Heading2"/>
              <w:spacing w:before="120" w:line="360" w:lineRule="auto"/>
              <w:ind w:left="113" w:right="113"/>
              <w:jc w:val="center"/>
              <w:outlineLvl w:val="1"/>
              <w:rPr>
                <w:b w:val="0"/>
                <w:color w:val="auto"/>
                <w:sz w:val="20"/>
              </w:rPr>
            </w:pPr>
          </w:p>
        </w:tc>
        <w:tc>
          <w:tcPr>
            <w:tcW w:w="568" w:type="dxa"/>
            <w:shd w:val="clear" w:color="auto" w:fill="FFFF00"/>
            <w:textDirection w:val="btLr"/>
          </w:tcPr>
          <w:p w14:paraId="5B6629E2" w14:textId="508E4673" w:rsidR="00FF3721" w:rsidRPr="00515022" w:rsidRDefault="00FF3721" w:rsidP="00FF3721">
            <w:pPr>
              <w:jc w:val="center"/>
              <w:rPr>
                <w:bCs/>
                <w:sz w:val="20"/>
                <w:szCs w:val="20"/>
              </w:rPr>
            </w:pPr>
            <w:r w:rsidRPr="00515022">
              <w:rPr>
                <w:bCs/>
                <w:sz w:val="20"/>
                <w:szCs w:val="20"/>
              </w:rPr>
              <w:t>(July 19)</w:t>
            </w:r>
          </w:p>
        </w:tc>
        <w:tc>
          <w:tcPr>
            <w:tcW w:w="5382" w:type="dxa"/>
          </w:tcPr>
          <w:p w14:paraId="79619B5D" w14:textId="500B1F38" w:rsidR="00FF3721" w:rsidRDefault="00FF3721" w:rsidP="00FF3721">
            <w:pPr>
              <w:pStyle w:val="BodyText"/>
              <w:spacing w:before="120" w:after="0"/>
              <w:rPr>
                <w:rFonts w:eastAsia="Times New Roman"/>
                <w:b/>
                <w:sz w:val="20"/>
                <w:szCs w:val="20"/>
              </w:rPr>
            </w:pPr>
            <w:r w:rsidRPr="009441E2">
              <w:rPr>
                <w:rFonts w:eastAsia="Times New Roman"/>
                <w:b/>
                <w:sz w:val="20"/>
                <w:szCs w:val="20"/>
              </w:rPr>
              <w:t xml:space="preserve">Risk treatment </w:t>
            </w:r>
            <w:r w:rsidR="00A95825">
              <w:rPr>
                <w:rFonts w:eastAsia="Times New Roman"/>
                <w:b/>
                <w:sz w:val="20"/>
                <w:szCs w:val="20"/>
              </w:rPr>
              <w:t>202</w:t>
            </w:r>
            <w:r w:rsidR="00B56CF5">
              <w:rPr>
                <w:rFonts w:eastAsia="Times New Roman"/>
                <w:b/>
                <w:sz w:val="20"/>
                <w:szCs w:val="20"/>
              </w:rPr>
              <w:t>1</w:t>
            </w:r>
            <w:r w:rsidRPr="009441E2">
              <w:rPr>
                <w:rFonts w:eastAsia="Times New Roman"/>
                <w:b/>
                <w:sz w:val="20"/>
                <w:szCs w:val="20"/>
              </w:rPr>
              <w:t>/0</w:t>
            </w:r>
            <w:r w:rsidR="008A2A89">
              <w:rPr>
                <w:rFonts w:eastAsia="Times New Roman"/>
                <w:b/>
                <w:sz w:val="20"/>
                <w:szCs w:val="20"/>
              </w:rPr>
              <w:t>4</w:t>
            </w:r>
            <w:r w:rsidRPr="009441E2">
              <w:rPr>
                <w:rFonts w:eastAsia="Times New Roman"/>
                <w:b/>
                <w:sz w:val="20"/>
                <w:szCs w:val="20"/>
              </w:rPr>
              <w:t>/</w:t>
            </w:r>
            <w:r>
              <w:rPr>
                <w:rFonts w:eastAsia="Times New Roman"/>
                <w:b/>
                <w:sz w:val="20"/>
                <w:szCs w:val="20"/>
              </w:rPr>
              <w:t>B</w:t>
            </w:r>
            <w:r w:rsidRPr="009441E2">
              <w:rPr>
                <w:rFonts w:eastAsia="Times New Roman"/>
                <w:b/>
                <w:sz w:val="20"/>
                <w:szCs w:val="20"/>
              </w:rPr>
              <w:t>:</w:t>
            </w:r>
            <w:r>
              <w:rPr>
                <w:rFonts w:eastAsia="Times New Roman"/>
                <w:b/>
                <w:sz w:val="20"/>
                <w:szCs w:val="20"/>
              </w:rPr>
              <w:t xml:space="preserve">  Collaborative SAR </w:t>
            </w:r>
            <w:r w:rsidRPr="00ED2107">
              <w:rPr>
                <w:rFonts w:eastAsia="Times New Roman"/>
                <w:b/>
                <w:sz w:val="20"/>
                <w:szCs w:val="20"/>
              </w:rPr>
              <w:t>training</w:t>
            </w:r>
            <w:r>
              <w:rPr>
                <w:rFonts w:eastAsia="Times New Roman"/>
                <w:b/>
                <w:sz w:val="20"/>
                <w:szCs w:val="20"/>
              </w:rPr>
              <w:t xml:space="preserve"> and </w:t>
            </w:r>
            <w:r w:rsidRPr="00ED2107">
              <w:rPr>
                <w:rFonts w:eastAsia="Times New Roman"/>
                <w:b/>
                <w:sz w:val="20"/>
                <w:szCs w:val="20"/>
              </w:rPr>
              <w:t>exercising</w:t>
            </w:r>
            <w:r>
              <w:rPr>
                <w:rFonts w:eastAsia="Times New Roman"/>
                <w:b/>
                <w:sz w:val="20"/>
                <w:szCs w:val="20"/>
              </w:rPr>
              <w:t xml:space="preserve"> </w:t>
            </w:r>
          </w:p>
          <w:p w14:paraId="30923DF1" w14:textId="0339658E" w:rsidR="00FF3721" w:rsidRPr="009441E2" w:rsidRDefault="00DE34C9" w:rsidP="00FF3721">
            <w:pPr>
              <w:pStyle w:val="BodyText"/>
              <w:spacing w:before="120" w:after="0"/>
              <w:rPr>
                <w:rFonts w:eastAsia="Times New Roman"/>
                <w:b/>
                <w:sz w:val="20"/>
                <w:szCs w:val="20"/>
              </w:rPr>
            </w:pPr>
            <w:r w:rsidRPr="003C2877">
              <w:rPr>
                <w:rFonts w:eastAsia="Times New Roman"/>
                <w:sz w:val="20"/>
                <w:szCs w:val="20"/>
              </w:rPr>
              <w:t xml:space="preserve">The sector is to </w:t>
            </w:r>
            <w:r>
              <w:rPr>
                <w:rFonts w:eastAsia="Times New Roman"/>
                <w:sz w:val="20"/>
                <w:szCs w:val="20"/>
              </w:rPr>
              <w:t>u</w:t>
            </w:r>
            <w:r w:rsidR="00FF3721">
              <w:rPr>
                <w:rFonts w:eastAsia="Times New Roman"/>
                <w:sz w:val="20"/>
                <w:szCs w:val="20"/>
              </w:rPr>
              <w:t xml:space="preserve">ndertake cooperative and collaborative </w:t>
            </w:r>
            <w:r w:rsidR="00FF3721" w:rsidRPr="00DA51F3">
              <w:rPr>
                <w:rFonts w:eastAsia="Times New Roman"/>
                <w:sz w:val="20"/>
                <w:szCs w:val="20"/>
              </w:rPr>
              <w:t xml:space="preserve">training, exercising and relationship building. </w:t>
            </w:r>
            <w:r>
              <w:rPr>
                <w:rFonts w:eastAsia="Times New Roman"/>
                <w:sz w:val="20"/>
                <w:szCs w:val="20"/>
              </w:rPr>
              <w:t>Collective training is encouraged to include HSW components.</w:t>
            </w:r>
          </w:p>
        </w:tc>
        <w:tc>
          <w:tcPr>
            <w:tcW w:w="712" w:type="dxa"/>
            <w:shd w:val="clear" w:color="auto" w:fill="FFFF00"/>
            <w:textDirection w:val="btLr"/>
            <w:vAlign w:val="center"/>
          </w:tcPr>
          <w:p w14:paraId="1B07E861" w14:textId="17C7564F" w:rsidR="008E464A" w:rsidRPr="008E464A" w:rsidRDefault="008E464A" w:rsidP="008E464A">
            <w:pPr>
              <w:ind w:left="113" w:right="113"/>
              <w:jc w:val="center"/>
              <w:rPr>
                <w:sz w:val="20"/>
                <w:szCs w:val="20"/>
              </w:rPr>
            </w:pPr>
            <w:r>
              <w:rPr>
                <w:sz w:val="20"/>
                <w:szCs w:val="20"/>
              </w:rPr>
              <w:t>Partial</w:t>
            </w:r>
          </w:p>
        </w:tc>
        <w:tc>
          <w:tcPr>
            <w:tcW w:w="712" w:type="dxa"/>
            <w:shd w:val="clear" w:color="auto" w:fill="FFFF00"/>
            <w:textDirection w:val="btLr"/>
            <w:vAlign w:val="center"/>
          </w:tcPr>
          <w:p w14:paraId="755F0377" w14:textId="28673924" w:rsidR="00FF3721" w:rsidRPr="00F70EC1" w:rsidRDefault="00FF3721" w:rsidP="00FF3721">
            <w:pPr>
              <w:ind w:left="113" w:right="113"/>
              <w:jc w:val="center"/>
              <w:rPr>
                <w:sz w:val="20"/>
                <w:szCs w:val="20"/>
              </w:rPr>
            </w:pPr>
            <w:r w:rsidRPr="00F70EC1">
              <w:rPr>
                <w:sz w:val="20"/>
                <w:szCs w:val="20"/>
              </w:rPr>
              <w:t>Ongoing</w:t>
            </w:r>
          </w:p>
        </w:tc>
        <w:tc>
          <w:tcPr>
            <w:tcW w:w="3404" w:type="dxa"/>
            <w:gridSpan w:val="2"/>
          </w:tcPr>
          <w:p w14:paraId="10DF2599" w14:textId="26E51714" w:rsidR="00FF3721" w:rsidRPr="00286A2D" w:rsidRDefault="00FF3721" w:rsidP="00FF3721">
            <w:pPr>
              <w:pStyle w:val="BodyText"/>
              <w:spacing w:before="120" w:after="0"/>
              <w:rPr>
                <w:b/>
                <w:sz w:val="20"/>
              </w:rPr>
            </w:pPr>
            <w:r w:rsidRPr="007F312C">
              <w:rPr>
                <w:rFonts w:eastAsia="Times New Roman"/>
                <w:sz w:val="20"/>
                <w:szCs w:val="20"/>
              </w:rPr>
              <w:t xml:space="preserve">NZSAR supports </w:t>
            </w:r>
            <w:r>
              <w:rPr>
                <w:rFonts w:eastAsia="Times New Roman"/>
                <w:sz w:val="20"/>
                <w:szCs w:val="20"/>
              </w:rPr>
              <w:t xml:space="preserve">the conduct of </w:t>
            </w:r>
            <w:r w:rsidRPr="007F312C">
              <w:rPr>
                <w:rFonts w:eastAsia="Times New Roman"/>
                <w:sz w:val="20"/>
                <w:szCs w:val="20"/>
              </w:rPr>
              <w:t>Police District SAREXs</w:t>
            </w:r>
            <w:r>
              <w:rPr>
                <w:rFonts w:eastAsia="Times New Roman"/>
                <w:sz w:val="20"/>
                <w:szCs w:val="20"/>
              </w:rPr>
              <w:t xml:space="preserve"> and the </w:t>
            </w:r>
            <w:proofErr w:type="spellStart"/>
            <w:r>
              <w:rPr>
                <w:rFonts w:eastAsia="Times New Roman"/>
                <w:sz w:val="20"/>
                <w:szCs w:val="20"/>
              </w:rPr>
              <w:t>Raoura</w:t>
            </w:r>
            <w:proofErr w:type="spellEnd"/>
            <w:r>
              <w:rPr>
                <w:rFonts w:eastAsia="Times New Roman"/>
                <w:sz w:val="20"/>
                <w:szCs w:val="20"/>
              </w:rPr>
              <w:t xml:space="preserve"> Mass Rescue Exercise series.  </w:t>
            </w:r>
            <w:r w:rsidR="004A1C60">
              <w:rPr>
                <w:rFonts w:eastAsia="Times New Roman"/>
                <w:sz w:val="20"/>
                <w:szCs w:val="20"/>
              </w:rPr>
              <w:t>Crawl/walk</w:t>
            </w:r>
            <w:r>
              <w:rPr>
                <w:rFonts w:eastAsia="Times New Roman"/>
                <w:sz w:val="20"/>
                <w:szCs w:val="20"/>
              </w:rPr>
              <w:t xml:space="preserve"> level exercise planned for 2021/22</w:t>
            </w:r>
          </w:p>
        </w:tc>
      </w:tr>
      <w:tr w:rsidR="00955915" w:rsidRPr="00286A2D" w14:paraId="72D87BA6" w14:textId="77777777" w:rsidTr="00292DD8">
        <w:trPr>
          <w:cantSplit/>
          <w:trHeight w:val="1399"/>
        </w:trPr>
        <w:tc>
          <w:tcPr>
            <w:tcW w:w="984" w:type="dxa"/>
            <w:vMerge/>
          </w:tcPr>
          <w:p w14:paraId="59013FE8" w14:textId="77777777" w:rsidR="00FF3721" w:rsidRPr="002D6CCE" w:rsidRDefault="00FF3721" w:rsidP="00FF3721">
            <w:pPr>
              <w:pStyle w:val="BodyText"/>
              <w:spacing w:before="120" w:after="0"/>
              <w:rPr>
                <w:rFonts w:eastAsia="Times New Roman"/>
                <w:sz w:val="20"/>
                <w:szCs w:val="20"/>
              </w:rPr>
            </w:pPr>
          </w:p>
        </w:tc>
        <w:tc>
          <w:tcPr>
            <w:tcW w:w="1568" w:type="dxa"/>
            <w:gridSpan w:val="2"/>
            <w:vMerge/>
          </w:tcPr>
          <w:p w14:paraId="1FFD7FB3" w14:textId="77777777" w:rsidR="00FF3721" w:rsidRPr="002D6CCE" w:rsidRDefault="00FF3721" w:rsidP="00FF3721">
            <w:pPr>
              <w:pStyle w:val="BodyText"/>
              <w:spacing w:before="120" w:after="0"/>
              <w:rPr>
                <w:rFonts w:eastAsia="Times New Roman"/>
                <w:sz w:val="20"/>
                <w:szCs w:val="20"/>
              </w:rPr>
            </w:pPr>
          </w:p>
        </w:tc>
        <w:tc>
          <w:tcPr>
            <w:tcW w:w="4379" w:type="dxa"/>
            <w:vMerge/>
          </w:tcPr>
          <w:p w14:paraId="5B18B664" w14:textId="77777777" w:rsidR="00FF3721" w:rsidRDefault="00FF3721" w:rsidP="00FF3721">
            <w:pPr>
              <w:pStyle w:val="BodyTextIndentBullet"/>
              <w:numPr>
                <w:ilvl w:val="0"/>
                <w:numId w:val="0"/>
              </w:numPr>
              <w:spacing w:before="120"/>
              <w:ind w:left="44"/>
              <w:rPr>
                <w:szCs w:val="20"/>
              </w:rPr>
            </w:pPr>
          </w:p>
        </w:tc>
        <w:tc>
          <w:tcPr>
            <w:tcW w:w="3688" w:type="dxa"/>
            <w:vMerge/>
          </w:tcPr>
          <w:p w14:paraId="5E19F54A" w14:textId="77777777" w:rsidR="00FF3721" w:rsidRDefault="00FF3721" w:rsidP="00FF3721">
            <w:pPr>
              <w:pStyle w:val="BodyText"/>
              <w:spacing w:before="120" w:after="0"/>
              <w:rPr>
                <w:rFonts w:eastAsia="Times New Roman"/>
                <w:sz w:val="20"/>
                <w:szCs w:val="20"/>
              </w:rPr>
            </w:pPr>
          </w:p>
        </w:tc>
        <w:tc>
          <w:tcPr>
            <w:tcW w:w="427" w:type="dxa"/>
            <w:vMerge/>
            <w:textDirection w:val="btLr"/>
            <w:vAlign w:val="center"/>
          </w:tcPr>
          <w:p w14:paraId="24E4055B" w14:textId="77777777" w:rsidR="00FF3721" w:rsidRPr="00286A2D" w:rsidRDefault="00FF3721" w:rsidP="00FF3721">
            <w:pPr>
              <w:pStyle w:val="Heading2"/>
              <w:spacing w:before="120" w:line="360" w:lineRule="auto"/>
              <w:ind w:left="113" w:right="113"/>
              <w:jc w:val="center"/>
              <w:outlineLvl w:val="1"/>
              <w:rPr>
                <w:b w:val="0"/>
                <w:color w:val="auto"/>
                <w:sz w:val="20"/>
              </w:rPr>
            </w:pPr>
          </w:p>
        </w:tc>
        <w:tc>
          <w:tcPr>
            <w:tcW w:w="428" w:type="dxa"/>
            <w:vMerge/>
            <w:textDirection w:val="btLr"/>
            <w:vAlign w:val="center"/>
          </w:tcPr>
          <w:p w14:paraId="5AAE35FF" w14:textId="77777777" w:rsidR="00FF3721" w:rsidRPr="00286A2D" w:rsidRDefault="00FF3721" w:rsidP="00FF3721">
            <w:pPr>
              <w:pStyle w:val="Heading2"/>
              <w:spacing w:before="120" w:line="360" w:lineRule="auto"/>
              <w:ind w:left="113" w:right="113"/>
              <w:jc w:val="center"/>
              <w:outlineLvl w:val="1"/>
              <w:rPr>
                <w:b w:val="0"/>
                <w:color w:val="auto"/>
                <w:sz w:val="20"/>
              </w:rPr>
            </w:pPr>
          </w:p>
        </w:tc>
        <w:tc>
          <w:tcPr>
            <w:tcW w:w="568" w:type="dxa"/>
            <w:shd w:val="clear" w:color="auto" w:fill="FFFF00"/>
            <w:textDirection w:val="btLr"/>
          </w:tcPr>
          <w:p w14:paraId="685A4B7B" w14:textId="57BFC251" w:rsidR="00FF3721" w:rsidRPr="00515022" w:rsidRDefault="00FF3721" w:rsidP="00FF3721">
            <w:pPr>
              <w:jc w:val="center"/>
              <w:rPr>
                <w:bCs/>
                <w:sz w:val="20"/>
                <w:szCs w:val="20"/>
              </w:rPr>
            </w:pPr>
            <w:r w:rsidRPr="00515022">
              <w:rPr>
                <w:bCs/>
                <w:sz w:val="20"/>
                <w:szCs w:val="20"/>
              </w:rPr>
              <w:t>(July 19)</w:t>
            </w:r>
          </w:p>
        </w:tc>
        <w:tc>
          <w:tcPr>
            <w:tcW w:w="5382" w:type="dxa"/>
          </w:tcPr>
          <w:p w14:paraId="6B0E9156" w14:textId="4BCE1504" w:rsidR="00FF3721" w:rsidRPr="006D7F8F" w:rsidRDefault="00FF3721" w:rsidP="00FF3721">
            <w:pPr>
              <w:pStyle w:val="BodyText"/>
              <w:spacing w:before="120" w:after="0"/>
              <w:rPr>
                <w:rFonts w:eastAsia="Times New Roman"/>
                <w:sz w:val="20"/>
                <w:szCs w:val="20"/>
              </w:rPr>
            </w:pPr>
            <w:r>
              <w:rPr>
                <w:rFonts w:eastAsia="Times New Roman"/>
                <w:b/>
                <w:sz w:val="20"/>
                <w:szCs w:val="20"/>
              </w:rPr>
              <w:t xml:space="preserve">Treatment Option </w:t>
            </w:r>
            <w:r w:rsidR="00A95825">
              <w:rPr>
                <w:rFonts w:eastAsia="Times New Roman"/>
                <w:b/>
                <w:sz w:val="20"/>
                <w:szCs w:val="20"/>
              </w:rPr>
              <w:t>202</w:t>
            </w:r>
            <w:r w:rsidR="00B56CF5">
              <w:rPr>
                <w:rFonts w:eastAsia="Times New Roman"/>
                <w:b/>
                <w:sz w:val="20"/>
                <w:szCs w:val="20"/>
              </w:rPr>
              <w:t>1</w:t>
            </w:r>
            <w:r w:rsidRPr="00F545CB">
              <w:rPr>
                <w:rFonts w:eastAsia="Times New Roman"/>
                <w:b/>
                <w:sz w:val="20"/>
                <w:szCs w:val="20"/>
              </w:rPr>
              <w:t>/</w:t>
            </w:r>
            <w:r>
              <w:rPr>
                <w:rFonts w:eastAsia="Times New Roman"/>
                <w:b/>
                <w:sz w:val="20"/>
                <w:szCs w:val="20"/>
              </w:rPr>
              <w:t>0</w:t>
            </w:r>
            <w:r w:rsidR="008A2A89">
              <w:rPr>
                <w:rFonts w:eastAsia="Times New Roman"/>
                <w:b/>
                <w:sz w:val="20"/>
                <w:szCs w:val="20"/>
              </w:rPr>
              <w:t>4</w:t>
            </w:r>
            <w:r w:rsidRPr="00F545CB">
              <w:rPr>
                <w:rFonts w:eastAsia="Times New Roman"/>
                <w:b/>
                <w:sz w:val="20"/>
                <w:szCs w:val="20"/>
              </w:rPr>
              <w:t>/</w:t>
            </w:r>
            <w:r>
              <w:rPr>
                <w:rFonts w:eastAsia="Times New Roman"/>
                <w:b/>
                <w:sz w:val="20"/>
                <w:szCs w:val="20"/>
              </w:rPr>
              <w:t>C</w:t>
            </w:r>
            <w:r w:rsidRPr="00F545CB">
              <w:rPr>
                <w:rFonts w:eastAsia="Times New Roman"/>
                <w:b/>
                <w:sz w:val="20"/>
                <w:szCs w:val="20"/>
              </w:rPr>
              <w:t xml:space="preserve">: </w:t>
            </w:r>
            <w:r>
              <w:rPr>
                <w:rFonts w:eastAsia="Times New Roman"/>
                <w:b/>
                <w:sz w:val="20"/>
                <w:szCs w:val="20"/>
              </w:rPr>
              <w:t xml:space="preserve">IMTEX. </w:t>
            </w:r>
            <w:r w:rsidRPr="003C2877">
              <w:rPr>
                <w:rFonts w:eastAsia="Times New Roman"/>
                <w:sz w:val="20"/>
                <w:szCs w:val="20"/>
              </w:rPr>
              <w:t xml:space="preserve">The sector is to </w:t>
            </w:r>
            <w:r>
              <w:rPr>
                <w:rFonts w:eastAsia="Times New Roman"/>
                <w:sz w:val="20"/>
                <w:szCs w:val="20"/>
              </w:rPr>
              <w:t>u</w:t>
            </w:r>
            <w:r w:rsidRPr="003C2877">
              <w:rPr>
                <w:rFonts w:eastAsia="Times New Roman"/>
                <w:sz w:val="20"/>
                <w:szCs w:val="20"/>
              </w:rPr>
              <w:t xml:space="preserve">ndertake independently </w:t>
            </w:r>
            <w:r>
              <w:rPr>
                <w:rFonts w:eastAsia="Times New Roman"/>
                <w:sz w:val="20"/>
                <w:szCs w:val="20"/>
              </w:rPr>
              <w:t>a</w:t>
            </w:r>
            <w:r w:rsidRPr="00213B1B">
              <w:rPr>
                <w:rFonts w:eastAsia="Times New Roman"/>
                <w:sz w:val="20"/>
                <w:szCs w:val="20"/>
              </w:rPr>
              <w:t xml:space="preserve">ssessed regional IMTEX’s involving multiple agencies to broaden, update and standardise search management practices. </w:t>
            </w:r>
          </w:p>
        </w:tc>
        <w:tc>
          <w:tcPr>
            <w:tcW w:w="712" w:type="dxa"/>
            <w:shd w:val="clear" w:color="auto" w:fill="FFFF00"/>
            <w:textDirection w:val="btLr"/>
            <w:vAlign w:val="center"/>
          </w:tcPr>
          <w:p w14:paraId="2B20DC3A" w14:textId="66117186" w:rsidR="00FF3721" w:rsidRPr="00E730FA" w:rsidRDefault="00E730FA" w:rsidP="00E730FA">
            <w:pPr>
              <w:ind w:left="113" w:right="113"/>
              <w:jc w:val="center"/>
              <w:rPr>
                <w:sz w:val="20"/>
                <w:szCs w:val="20"/>
              </w:rPr>
            </w:pPr>
            <w:r w:rsidRPr="00E730FA">
              <w:rPr>
                <w:sz w:val="20"/>
                <w:szCs w:val="20"/>
              </w:rPr>
              <w:t>Nil</w:t>
            </w:r>
          </w:p>
        </w:tc>
        <w:tc>
          <w:tcPr>
            <w:tcW w:w="712" w:type="dxa"/>
            <w:shd w:val="clear" w:color="auto" w:fill="00B050"/>
            <w:textDirection w:val="btLr"/>
            <w:vAlign w:val="center"/>
          </w:tcPr>
          <w:p w14:paraId="28EA8069" w14:textId="5D91F289" w:rsidR="00FF3721" w:rsidRPr="00F70EC1" w:rsidRDefault="004D4376" w:rsidP="00FF3721">
            <w:pPr>
              <w:ind w:left="113" w:right="113"/>
              <w:jc w:val="center"/>
              <w:rPr>
                <w:sz w:val="20"/>
                <w:szCs w:val="20"/>
              </w:rPr>
            </w:pPr>
            <w:r>
              <w:rPr>
                <w:sz w:val="20"/>
                <w:szCs w:val="20"/>
              </w:rPr>
              <w:t>Ongoing</w:t>
            </w:r>
          </w:p>
        </w:tc>
        <w:tc>
          <w:tcPr>
            <w:tcW w:w="3404" w:type="dxa"/>
            <w:gridSpan w:val="2"/>
          </w:tcPr>
          <w:p w14:paraId="474D12D6" w14:textId="75D251BA" w:rsidR="00FF3721" w:rsidRPr="003A4A0B" w:rsidRDefault="007331DD" w:rsidP="00FF3721">
            <w:pPr>
              <w:pStyle w:val="BodyText"/>
              <w:rPr>
                <w:rFonts w:eastAsia="Times New Roman"/>
                <w:sz w:val="20"/>
                <w:szCs w:val="20"/>
              </w:rPr>
            </w:pPr>
            <w:r>
              <w:rPr>
                <w:rFonts w:eastAsia="Times New Roman"/>
                <w:sz w:val="20"/>
                <w:szCs w:val="20"/>
              </w:rPr>
              <w:t xml:space="preserve">The Secretariat </w:t>
            </w:r>
            <w:r w:rsidR="00307A7F">
              <w:rPr>
                <w:rFonts w:eastAsia="Times New Roman"/>
                <w:sz w:val="20"/>
                <w:szCs w:val="20"/>
              </w:rPr>
              <w:t xml:space="preserve">has </w:t>
            </w:r>
            <w:r>
              <w:rPr>
                <w:rFonts w:eastAsia="Times New Roman"/>
                <w:sz w:val="20"/>
                <w:szCs w:val="20"/>
              </w:rPr>
              <w:t>prepare</w:t>
            </w:r>
            <w:r w:rsidR="00307A7F">
              <w:rPr>
                <w:rFonts w:eastAsia="Times New Roman"/>
                <w:sz w:val="20"/>
                <w:szCs w:val="20"/>
              </w:rPr>
              <w:t xml:space="preserve">d </w:t>
            </w:r>
            <w:proofErr w:type="gramStart"/>
            <w:r w:rsidR="00307A7F">
              <w:rPr>
                <w:rFonts w:eastAsia="Times New Roman"/>
                <w:sz w:val="20"/>
                <w:szCs w:val="20"/>
              </w:rPr>
              <w:t xml:space="preserve">several </w:t>
            </w:r>
            <w:r>
              <w:rPr>
                <w:rFonts w:eastAsia="Times New Roman"/>
                <w:sz w:val="20"/>
                <w:szCs w:val="20"/>
              </w:rPr>
              <w:t xml:space="preserve"> IMT</w:t>
            </w:r>
            <w:proofErr w:type="gramEnd"/>
            <w:r>
              <w:rPr>
                <w:rFonts w:eastAsia="Times New Roman"/>
                <w:sz w:val="20"/>
                <w:szCs w:val="20"/>
              </w:rPr>
              <w:t xml:space="preserve"> Exercise for use by SAR IMTs.  Trained evaluators can also be made available upon request.</w:t>
            </w:r>
          </w:p>
        </w:tc>
      </w:tr>
      <w:tr w:rsidR="00955915" w:rsidRPr="00286A2D" w14:paraId="31F0AB8E" w14:textId="77777777" w:rsidTr="00292DD8">
        <w:trPr>
          <w:cantSplit/>
          <w:trHeight w:val="1479"/>
        </w:trPr>
        <w:tc>
          <w:tcPr>
            <w:tcW w:w="984" w:type="dxa"/>
            <w:vMerge/>
          </w:tcPr>
          <w:p w14:paraId="760C7C53" w14:textId="77777777" w:rsidR="00E730FA" w:rsidRPr="002D6CCE" w:rsidRDefault="00E730FA" w:rsidP="00E730FA">
            <w:pPr>
              <w:pStyle w:val="BodyText"/>
              <w:spacing w:before="120" w:after="0"/>
              <w:rPr>
                <w:rFonts w:eastAsia="Times New Roman"/>
                <w:sz w:val="20"/>
                <w:szCs w:val="20"/>
              </w:rPr>
            </w:pPr>
          </w:p>
        </w:tc>
        <w:tc>
          <w:tcPr>
            <w:tcW w:w="1568" w:type="dxa"/>
            <w:gridSpan w:val="2"/>
            <w:vMerge/>
          </w:tcPr>
          <w:p w14:paraId="580A6114" w14:textId="77777777" w:rsidR="00E730FA" w:rsidRPr="002D6CCE" w:rsidRDefault="00E730FA" w:rsidP="00E730FA">
            <w:pPr>
              <w:pStyle w:val="BodyText"/>
              <w:spacing w:before="120" w:after="0"/>
              <w:rPr>
                <w:rFonts w:eastAsia="Times New Roman"/>
                <w:sz w:val="20"/>
                <w:szCs w:val="20"/>
              </w:rPr>
            </w:pPr>
          </w:p>
        </w:tc>
        <w:tc>
          <w:tcPr>
            <w:tcW w:w="4379" w:type="dxa"/>
            <w:vMerge/>
          </w:tcPr>
          <w:p w14:paraId="213B2FE2" w14:textId="77777777" w:rsidR="00E730FA" w:rsidRDefault="00E730FA" w:rsidP="00E730FA">
            <w:pPr>
              <w:pStyle w:val="BodyTextIndentBullet"/>
              <w:numPr>
                <w:ilvl w:val="0"/>
                <w:numId w:val="0"/>
              </w:numPr>
              <w:spacing w:before="120"/>
              <w:ind w:left="44"/>
              <w:rPr>
                <w:szCs w:val="20"/>
              </w:rPr>
            </w:pPr>
          </w:p>
        </w:tc>
        <w:tc>
          <w:tcPr>
            <w:tcW w:w="3688" w:type="dxa"/>
            <w:vMerge/>
          </w:tcPr>
          <w:p w14:paraId="76A8AEFD" w14:textId="77777777" w:rsidR="00E730FA" w:rsidRDefault="00E730FA" w:rsidP="00E730FA">
            <w:pPr>
              <w:pStyle w:val="BodyText"/>
              <w:spacing w:before="120" w:after="0"/>
              <w:rPr>
                <w:rFonts w:eastAsia="Times New Roman"/>
                <w:sz w:val="20"/>
                <w:szCs w:val="20"/>
              </w:rPr>
            </w:pPr>
          </w:p>
        </w:tc>
        <w:tc>
          <w:tcPr>
            <w:tcW w:w="427" w:type="dxa"/>
            <w:vMerge/>
            <w:textDirection w:val="btLr"/>
            <w:vAlign w:val="center"/>
          </w:tcPr>
          <w:p w14:paraId="404E2176" w14:textId="77777777" w:rsidR="00E730FA" w:rsidRPr="00286A2D" w:rsidRDefault="00E730FA" w:rsidP="00E730FA">
            <w:pPr>
              <w:pStyle w:val="Heading2"/>
              <w:spacing w:before="120" w:line="360" w:lineRule="auto"/>
              <w:ind w:left="113" w:right="113"/>
              <w:jc w:val="center"/>
              <w:outlineLvl w:val="1"/>
              <w:rPr>
                <w:b w:val="0"/>
                <w:color w:val="auto"/>
                <w:sz w:val="20"/>
              </w:rPr>
            </w:pPr>
          </w:p>
        </w:tc>
        <w:tc>
          <w:tcPr>
            <w:tcW w:w="428" w:type="dxa"/>
            <w:vMerge/>
            <w:textDirection w:val="btLr"/>
            <w:vAlign w:val="center"/>
          </w:tcPr>
          <w:p w14:paraId="106687F5" w14:textId="77777777" w:rsidR="00E730FA" w:rsidRPr="00286A2D" w:rsidRDefault="00E730FA" w:rsidP="00E730FA">
            <w:pPr>
              <w:pStyle w:val="Heading2"/>
              <w:spacing w:before="120" w:line="360" w:lineRule="auto"/>
              <w:ind w:left="113" w:right="113"/>
              <w:jc w:val="center"/>
              <w:outlineLvl w:val="1"/>
              <w:rPr>
                <w:b w:val="0"/>
                <w:color w:val="auto"/>
                <w:sz w:val="20"/>
              </w:rPr>
            </w:pPr>
          </w:p>
        </w:tc>
        <w:tc>
          <w:tcPr>
            <w:tcW w:w="568" w:type="dxa"/>
            <w:shd w:val="clear" w:color="auto" w:fill="FFFF00"/>
            <w:textDirection w:val="btLr"/>
          </w:tcPr>
          <w:p w14:paraId="487A7E8C" w14:textId="58831EE3" w:rsidR="00E730FA" w:rsidRPr="00515022" w:rsidRDefault="00E730FA" w:rsidP="00E730FA">
            <w:pPr>
              <w:jc w:val="center"/>
              <w:rPr>
                <w:bCs/>
                <w:sz w:val="20"/>
                <w:szCs w:val="20"/>
              </w:rPr>
            </w:pPr>
            <w:r w:rsidRPr="00515022">
              <w:rPr>
                <w:bCs/>
                <w:sz w:val="20"/>
                <w:szCs w:val="20"/>
              </w:rPr>
              <w:t>(July 19)</w:t>
            </w:r>
          </w:p>
        </w:tc>
        <w:tc>
          <w:tcPr>
            <w:tcW w:w="5382" w:type="dxa"/>
          </w:tcPr>
          <w:p w14:paraId="1E5591B6" w14:textId="461F731B" w:rsidR="00E730FA" w:rsidRDefault="00E730FA" w:rsidP="00E730FA">
            <w:pPr>
              <w:pStyle w:val="BodyText"/>
              <w:spacing w:before="120" w:after="0"/>
              <w:rPr>
                <w:rFonts w:eastAsia="Times New Roman"/>
                <w:b/>
                <w:sz w:val="20"/>
                <w:szCs w:val="20"/>
              </w:rPr>
            </w:pPr>
            <w:r>
              <w:rPr>
                <w:rFonts w:eastAsia="Times New Roman"/>
                <w:b/>
                <w:sz w:val="20"/>
                <w:szCs w:val="20"/>
              </w:rPr>
              <w:t xml:space="preserve">Risk Treatment </w:t>
            </w:r>
            <w:r w:rsidR="00A95825">
              <w:rPr>
                <w:rFonts w:eastAsia="Times New Roman"/>
                <w:b/>
                <w:sz w:val="20"/>
                <w:szCs w:val="20"/>
              </w:rPr>
              <w:t>202</w:t>
            </w:r>
            <w:r w:rsidR="00B56CF5">
              <w:rPr>
                <w:rFonts w:eastAsia="Times New Roman"/>
                <w:b/>
                <w:sz w:val="20"/>
                <w:szCs w:val="20"/>
              </w:rPr>
              <w:t>1</w:t>
            </w:r>
            <w:r>
              <w:rPr>
                <w:rFonts w:eastAsia="Times New Roman"/>
                <w:b/>
                <w:sz w:val="20"/>
                <w:szCs w:val="20"/>
              </w:rPr>
              <w:t>/0</w:t>
            </w:r>
            <w:r w:rsidR="008A2A89">
              <w:rPr>
                <w:rFonts w:eastAsia="Times New Roman"/>
                <w:b/>
                <w:sz w:val="20"/>
                <w:szCs w:val="20"/>
              </w:rPr>
              <w:t>4</w:t>
            </w:r>
            <w:r>
              <w:rPr>
                <w:rFonts w:eastAsia="Times New Roman"/>
                <w:b/>
                <w:sz w:val="20"/>
                <w:szCs w:val="20"/>
              </w:rPr>
              <w:t>/D:  Continuation/Refresher Training</w:t>
            </w:r>
          </w:p>
          <w:p w14:paraId="53C3A638" w14:textId="77777777" w:rsidR="00E730FA" w:rsidRPr="003A4A0B" w:rsidRDefault="00E730FA" w:rsidP="00E730FA">
            <w:pPr>
              <w:pStyle w:val="BodyText"/>
              <w:spacing w:before="120" w:after="0"/>
              <w:rPr>
                <w:rFonts w:eastAsia="Times New Roman"/>
                <w:sz w:val="20"/>
                <w:szCs w:val="20"/>
              </w:rPr>
            </w:pPr>
            <w:r w:rsidRPr="003A4A0B">
              <w:rPr>
                <w:rFonts w:eastAsia="Times New Roman"/>
                <w:sz w:val="20"/>
                <w:szCs w:val="20"/>
              </w:rPr>
              <w:t xml:space="preserve">Encourage </w:t>
            </w:r>
            <w:r>
              <w:rPr>
                <w:rFonts w:eastAsia="Times New Roman"/>
                <w:sz w:val="20"/>
                <w:szCs w:val="20"/>
              </w:rPr>
              <w:t xml:space="preserve">all </w:t>
            </w:r>
            <w:r w:rsidRPr="003A4A0B">
              <w:rPr>
                <w:rFonts w:eastAsia="Times New Roman"/>
                <w:sz w:val="20"/>
                <w:szCs w:val="20"/>
              </w:rPr>
              <w:t xml:space="preserve">SAR agencies to </w:t>
            </w:r>
            <w:r>
              <w:rPr>
                <w:rFonts w:eastAsia="Times New Roman"/>
                <w:sz w:val="20"/>
                <w:szCs w:val="20"/>
              </w:rPr>
              <w:t>plan and undertake c</w:t>
            </w:r>
            <w:r w:rsidRPr="003A4A0B">
              <w:rPr>
                <w:rFonts w:eastAsia="Times New Roman"/>
                <w:sz w:val="20"/>
                <w:szCs w:val="20"/>
              </w:rPr>
              <w:t>ontinuation</w:t>
            </w:r>
            <w:r>
              <w:rPr>
                <w:rFonts w:eastAsia="Times New Roman"/>
                <w:sz w:val="20"/>
                <w:szCs w:val="20"/>
              </w:rPr>
              <w:t xml:space="preserve"> or refresher t</w:t>
            </w:r>
            <w:r w:rsidRPr="003A4A0B">
              <w:rPr>
                <w:rFonts w:eastAsia="Times New Roman"/>
                <w:sz w:val="20"/>
                <w:szCs w:val="20"/>
              </w:rPr>
              <w:t>raining</w:t>
            </w:r>
            <w:r>
              <w:rPr>
                <w:rFonts w:eastAsia="Times New Roman"/>
                <w:sz w:val="20"/>
                <w:szCs w:val="20"/>
              </w:rPr>
              <w:t xml:space="preserve"> </w:t>
            </w:r>
            <w:proofErr w:type="gramStart"/>
            <w:r>
              <w:rPr>
                <w:rFonts w:eastAsia="Times New Roman"/>
                <w:sz w:val="20"/>
                <w:szCs w:val="20"/>
              </w:rPr>
              <w:t>in order to</w:t>
            </w:r>
            <w:proofErr w:type="gramEnd"/>
            <w:r>
              <w:rPr>
                <w:rFonts w:eastAsia="Times New Roman"/>
                <w:sz w:val="20"/>
                <w:szCs w:val="20"/>
              </w:rPr>
              <w:t xml:space="preserve"> retain skills and maintain engagement with SAR.  </w:t>
            </w:r>
          </w:p>
        </w:tc>
        <w:tc>
          <w:tcPr>
            <w:tcW w:w="712" w:type="dxa"/>
            <w:shd w:val="clear" w:color="auto" w:fill="FFFF00"/>
            <w:textDirection w:val="btLr"/>
            <w:vAlign w:val="center"/>
          </w:tcPr>
          <w:p w14:paraId="63146FBA" w14:textId="42B4A47B" w:rsidR="00E730FA" w:rsidRPr="00BB5DB0" w:rsidRDefault="00E730FA" w:rsidP="00E730FA">
            <w:pPr>
              <w:jc w:val="center"/>
              <w:rPr>
                <w:b/>
                <w:sz w:val="20"/>
                <w:szCs w:val="20"/>
              </w:rPr>
            </w:pPr>
            <w:r>
              <w:rPr>
                <w:rFonts w:eastAsia="Times New Roman"/>
                <w:sz w:val="20"/>
                <w:szCs w:val="20"/>
              </w:rPr>
              <w:t>Partial</w:t>
            </w:r>
          </w:p>
        </w:tc>
        <w:tc>
          <w:tcPr>
            <w:tcW w:w="712" w:type="dxa"/>
            <w:shd w:val="clear" w:color="auto" w:fill="00B050"/>
            <w:textDirection w:val="btLr"/>
            <w:vAlign w:val="center"/>
          </w:tcPr>
          <w:p w14:paraId="13CC878A" w14:textId="79EEABE8" w:rsidR="00E730FA" w:rsidRPr="00F70EC1" w:rsidRDefault="00E730FA" w:rsidP="00E730FA">
            <w:pPr>
              <w:ind w:left="113" w:right="113"/>
              <w:jc w:val="center"/>
              <w:rPr>
                <w:sz w:val="20"/>
                <w:szCs w:val="20"/>
              </w:rPr>
            </w:pPr>
            <w:r>
              <w:rPr>
                <w:sz w:val="20"/>
                <w:szCs w:val="20"/>
              </w:rPr>
              <w:t>Sector resp</w:t>
            </w:r>
            <w:r w:rsidR="00B4007D">
              <w:rPr>
                <w:sz w:val="20"/>
                <w:szCs w:val="20"/>
              </w:rPr>
              <w:t>onsibility</w:t>
            </w:r>
          </w:p>
        </w:tc>
        <w:tc>
          <w:tcPr>
            <w:tcW w:w="3404" w:type="dxa"/>
            <w:gridSpan w:val="2"/>
          </w:tcPr>
          <w:p w14:paraId="78C29CAB" w14:textId="77777777" w:rsidR="00E730FA" w:rsidRDefault="00E730FA" w:rsidP="00E730FA">
            <w:pPr>
              <w:pStyle w:val="BodyText"/>
              <w:rPr>
                <w:rFonts w:eastAsia="Times New Roman"/>
                <w:sz w:val="20"/>
                <w:szCs w:val="20"/>
              </w:rPr>
            </w:pPr>
            <w:r w:rsidRPr="003A4A0B">
              <w:rPr>
                <w:rFonts w:eastAsia="Times New Roman"/>
                <w:sz w:val="20"/>
                <w:szCs w:val="20"/>
              </w:rPr>
              <w:t>Continuation</w:t>
            </w:r>
            <w:r>
              <w:rPr>
                <w:rFonts w:eastAsia="Times New Roman"/>
                <w:sz w:val="20"/>
                <w:szCs w:val="20"/>
              </w:rPr>
              <w:t xml:space="preserve"> or refresher t</w:t>
            </w:r>
            <w:r w:rsidRPr="003A4A0B">
              <w:rPr>
                <w:rFonts w:eastAsia="Times New Roman"/>
                <w:sz w:val="20"/>
                <w:szCs w:val="20"/>
              </w:rPr>
              <w:t>raining</w:t>
            </w:r>
            <w:r>
              <w:rPr>
                <w:rFonts w:eastAsia="Times New Roman"/>
                <w:sz w:val="20"/>
                <w:szCs w:val="20"/>
              </w:rPr>
              <w:t xml:space="preserve"> is the responsibility of the SAR sector as an “industry”.</w:t>
            </w:r>
          </w:p>
          <w:p w14:paraId="287880C4" w14:textId="659BD399" w:rsidR="00DD00A3" w:rsidRDefault="00DD00A3" w:rsidP="00E730FA">
            <w:pPr>
              <w:pStyle w:val="BodyText"/>
            </w:pPr>
            <w:r>
              <w:rPr>
                <w:rFonts w:eastAsia="Times New Roman"/>
                <w:sz w:val="20"/>
                <w:szCs w:val="20"/>
              </w:rPr>
              <w:t xml:space="preserve">NZSAR, in part, funds the </w:t>
            </w:r>
            <w:proofErr w:type="gramStart"/>
            <w:r>
              <w:rPr>
                <w:rFonts w:eastAsia="Times New Roman"/>
                <w:sz w:val="20"/>
                <w:szCs w:val="20"/>
              </w:rPr>
              <w:t>sectors</w:t>
            </w:r>
            <w:proofErr w:type="gramEnd"/>
            <w:r>
              <w:rPr>
                <w:rFonts w:eastAsia="Times New Roman"/>
                <w:sz w:val="20"/>
                <w:szCs w:val="20"/>
              </w:rPr>
              <w:t xml:space="preserve"> ability to undertake this training</w:t>
            </w:r>
          </w:p>
        </w:tc>
      </w:tr>
      <w:tr w:rsidR="00955915" w:rsidRPr="00286A2D" w14:paraId="4BCFFA14" w14:textId="77777777" w:rsidTr="00292DD8">
        <w:trPr>
          <w:cantSplit/>
          <w:trHeight w:val="1134"/>
        </w:trPr>
        <w:tc>
          <w:tcPr>
            <w:tcW w:w="984" w:type="dxa"/>
            <w:vMerge/>
          </w:tcPr>
          <w:p w14:paraId="78F243F2" w14:textId="77777777" w:rsidR="00FF3721" w:rsidRPr="002D6CCE" w:rsidRDefault="00FF3721" w:rsidP="00FF3721">
            <w:pPr>
              <w:pStyle w:val="BodyText"/>
              <w:spacing w:before="120" w:after="0"/>
              <w:rPr>
                <w:rFonts w:eastAsia="Times New Roman"/>
                <w:sz w:val="20"/>
                <w:szCs w:val="20"/>
              </w:rPr>
            </w:pPr>
          </w:p>
        </w:tc>
        <w:tc>
          <w:tcPr>
            <w:tcW w:w="1568" w:type="dxa"/>
            <w:gridSpan w:val="2"/>
            <w:vMerge/>
          </w:tcPr>
          <w:p w14:paraId="01258132" w14:textId="77777777" w:rsidR="00FF3721" w:rsidRPr="002D6CCE" w:rsidRDefault="00FF3721" w:rsidP="00FF3721">
            <w:pPr>
              <w:pStyle w:val="BodyText"/>
              <w:spacing w:before="120" w:after="0"/>
              <w:rPr>
                <w:rFonts w:eastAsia="Times New Roman"/>
                <w:sz w:val="20"/>
                <w:szCs w:val="20"/>
              </w:rPr>
            </w:pPr>
          </w:p>
        </w:tc>
        <w:tc>
          <w:tcPr>
            <w:tcW w:w="4379" w:type="dxa"/>
            <w:vMerge/>
          </w:tcPr>
          <w:p w14:paraId="16DA0C65" w14:textId="77777777" w:rsidR="00FF3721" w:rsidRDefault="00FF3721" w:rsidP="00FF3721">
            <w:pPr>
              <w:pStyle w:val="BodyTextIndentBullet"/>
              <w:numPr>
                <w:ilvl w:val="0"/>
                <w:numId w:val="0"/>
              </w:numPr>
              <w:spacing w:before="120"/>
              <w:ind w:left="44"/>
              <w:rPr>
                <w:szCs w:val="20"/>
              </w:rPr>
            </w:pPr>
          </w:p>
        </w:tc>
        <w:tc>
          <w:tcPr>
            <w:tcW w:w="3688" w:type="dxa"/>
            <w:vMerge/>
          </w:tcPr>
          <w:p w14:paraId="461A3F22" w14:textId="77777777" w:rsidR="00FF3721" w:rsidRDefault="00FF3721" w:rsidP="00FF3721">
            <w:pPr>
              <w:pStyle w:val="BodyText"/>
              <w:spacing w:before="120" w:after="0"/>
              <w:rPr>
                <w:rFonts w:eastAsia="Times New Roman"/>
                <w:sz w:val="20"/>
                <w:szCs w:val="20"/>
              </w:rPr>
            </w:pPr>
          </w:p>
        </w:tc>
        <w:tc>
          <w:tcPr>
            <w:tcW w:w="427" w:type="dxa"/>
            <w:vMerge/>
            <w:textDirection w:val="btLr"/>
            <w:vAlign w:val="center"/>
          </w:tcPr>
          <w:p w14:paraId="77F4C26B" w14:textId="77777777" w:rsidR="00FF3721" w:rsidRPr="00286A2D" w:rsidRDefault="00FF3721" w:rsidP="00FF3721">
            <w:pPr>
              <w:pStyle w:val="Heading2"/>
              <w:spacing w:before="120" w:line="360" w:lineRule="auto"/>
              <w:ind w:left="113" w:right="113"/>
              <w:jc w:val="center"/>
              <w:outlineLvl w:val="1"/>
              <w:rPr>
                <w:b w:val="0"/>
                <w:color w:val="auto"/>
                <w:sz w:val="20"/>
              </w:rPr>
            </w:pPr>
          </w:p>
        </w:tc>
        <w:tc>
          <w:tcPr>
            <w:tcW w:w="428" w:type="dxa"/>
            <w:vMerge/>
            <w:textDirection w:val="btLr"/>
            <w:vAlign w:val="center"/>
          </w:tcPr>
          <w:p w14:paraId="03D37AE9" w14:textId="77777777" w:rsidR="00FF3721" w:rsidRPr="00286A2D" w:rsidRDefault="00FF3721" w:rsidP="00FF3721">
            <w:pPr>
              <w:pStyle w:val="Heading2"/>
              <w:spacing w:before="120" w:line="360" w:lineRule="auto"/>
              <w:ind w:left="113" w:right="113"/>
              <w:jc w:val="center"/>
              <w:outlineLvl w:val="1"/>
              <w:rPr>
                <w:b w:val="0"/>
                <w:color w:val="auto"/>
                <w:sz w:val="20"/>
              </w:rPr>
            </w:pPr>
          </w:p>
        </w:tc>
        <w:tc>
          <w:tcPr>
            <w:tcW w:w="568" w:type="dxa"/>
            <w:vMerge w:val="restart"/>
            <w:shd w:val="clear" w:color="auto" w:fill="FFFF00"/>
            <w:textDirection w:val="btLr"/>
          </w:tcPr>
          <w:p w14:paraId="631EEFD2" w14:textId="1D03A355" w:rsidR="00FF3721" w:rsidRPr="00BB5DB0" w:rsidRDefault="00FF3721" w:rsidP="00FF3721">
            <w:pPr>
              <w:jc w:val="center"/>
              <w:rPr>
                <w:b/>
                <w:sz w:val="20"/>
                <w:szCs w:val="20"/>
              </w:rPr>
            </w:pPr>
            <w:r w:rsidRPr="00BB5DB0">
              <w:rPr>
                <w:b/>
                <w:sz w:val="20"/>
                <w:szCs w:val="20"/>
              </w:rPr>
              <w:t>(July 19)</w:t>
            </w:r>
          </w:p>
        </w:tc>
        <w:tc>
          <w:tcPr>
            <w:tcW w:w="5382" w:type="dxa"/>
          </w:tcPr>
          <w:p w14:paraId="34E32774" w14:textId="035B4AF3" w:rsidR="00FF3721" w:rsidRDefault="00FF3721" w:rsidP="00FF3721">
            <w:pPr>
              <w:pStyle w:val="BodyText"/>
              <w:spacing w:before="120" w:after="0"/>
              <w:rPr>
                <w:rFonts w:eastAsia="Times New Roman"/>
                <w:b/>
                <w:sz w:val="20"/>
                <w:szCs w:val="20"/>
              </w:rPr>
            </w:pPr>
            <w:r>
              <w:rPr>
                <w:rFonts w:eastAsia="Times New Roman"/>
                <w:b/>
                <w:sz w:val="20"/>
                <w:szCs w:val="20"/>
              </w:rPr>
              <w:t xml:space="preserve">Risk Treatment </w:t>
            </w:r>
            <w:r w:rsidR="00A95825">
              <w:rPr>
                <w:rFonts w:eastAsia="Times New Roman"/>
                <w:b/>
                <w:sz w:val="20"/>
                <w:szCs w:val="20"/>
              </w:rPr>
              <w:t>202</w:t>
            </w:r>
            <w:r w:rsidR="00B56CF5">
              <w:rPr>
                <w:rFonts w:eastAsia="Times New Roman"/>
                <w:b/>
                <w:sz w:val="20"/>
                <w:szCs w:val="20"/>
              </w:rPr>
              <w:t>1</w:t>
            </w:r>
            <w:r>
              <w:rPr>
                <w:rFonts w:eastAsia="Times New Roman"/>
                <w:b/>
                <w:sz w:val="20"/>
                <w:szCs w:val="20"/>
              </w:rPr>
              <w:t>/0</w:t>
            </w:r>
            <w:r w:rsidR="008A2A89">
              <w:rPr>
                <w:rFonts w:eastAsia="Times New Roman"/>
                <w:b/>
                <w:sz w:val="20"/>
                <w:szCs w:val="20"/>
              </w:rPr>
              <w:t>4</w:t>
            </w:r>
            <w:r>
              <w:rPr>
                <w:rFonts w:eastAsia="Times New Roman"/>
                <w:b/>
                <w:sz w:val="20"/>
                <w:szCs w:val="20"/>
              </w:rPr>
              <w:t>/E:  Revalidation</w:t>
            </w:r>
          </w:p>
          <w:p w14:paraId="096D50A8" w14:textId="4BD97958" w:rsidR="00FF3721" w:rsidRDefault="00FF3721" w:rsidP="00FF3721">
            <w:pPr>
              <w:pStyle w:val="BodyText"/>
              <w:spacing w:before="120" w:after="0"/>
              <w:rPr>
                <w:rFonts w:eastAsia="Times New Roman"/>
                <w:b/>
                <w:sz w:val="20"/>
                <w:szCs w:val="20"/>
              </w:rPr>
            </w:pPr>
            <w:r>
              <w:rPr>
                <w:rFonts w:eastAsia="Times New Roman"/>
                <w:sz w:val="20"/>
                <w:szCs w:val="20"/>
              </w:rPr>
              <w:t xml:space="preserve">Work with Police </w:t>
            </w:r>
            <w:r w:rsidR="00B56CF5">
              <w:rPr>
                <w:rFonts w:eastAsia="Times New Roman"/>
                <w:sz w:val="20"/>
                <w:szCs w:val="20"/>
              </w:rPr>
              <w:t xml:space="preserve">and other agencies </w:t>
            </w:r>
            <w:r>
              <w:rPr>
                <w:rFonts w:eastAsia="Times New Roman"/>
                <w:sz w:val="20"/>
                <w:szCs w:val="20"/>
              </w:rPr>
              <w:t>to develop a SAR coordinator revalidation system.</w:t>
            </w:r>
            <w:r w:rsidRPr="003407EA">
              <w:rPr>
                <w:rFonts w:eastAsia="Times New Roman"/>
                <w:sz w:val="20"/>
                <w:szCs w:val="20"/>
              </w:rPr>
              <w:t xml:space="preserve"> </w:t>
            </w:r>
          </w:p>
        </w:tc>
        <w:tc>
          <w:tcPr>
            <w:tcW w:w="712" w:type="dxa"/>
            <w:shd w:val="clear" w:color="auto" w:fill="FF0000"/>
            <w:textDirection w:val="btLr"/>
            <w:vAlign w:val="center"/>
          </w:tcPr>
          <w:p w14:paraId="38643269" w14:textId="6B297134" w:rsidR="00FF3721" w:rsidRPr="00E730FA" w:rsidRDefault="00E730FA" w:rsidP="00E730FA">
            <w:pPr>
              <w:ind w:left="113" w:right="113"/>
              <w:jc w:val="center"/>
              <w:rPr>
                <w:sz w:val="20"/>
                <w:szCs w:val="20"/>
              </w:rPr>
            </w:pPr>
            <w:r w:rsidRPr="00E730FA">
              <w:rPr>
                <w:sz w:val="20"/>
                <w:szCs w:val="20"/>
              </w:rPr>
              <w:t>Nil</w:t>
            </w:r>
          </w:p>
        </w:tc>
        <w:tc>
          <w:tcPr>
            <w:tcW w:w="712" w:type="dxa"/>
            <w:shd w:val="clear" w:color="auto" w:fill="00B050"/>
            <w:textDirection w:val="btLr"/>
            <w:vAlign w:val="center"/>
          </w:tcPr>
          <w:p w14:paraId="41BBE365" w14:textId="4CECC1DE" w:rsidR="00FF3721" w:rsidRPr="00F70EC1" w:rsidRDefault="00FF3721" w:rsidP="00FF3721">
            <w:pPr>
              <w:ind w:left="113" w:right="113"/>
              <w:jc w:val="center"/>
              <w:rPr>
                <w:sz w:val="20"/>
                <w:szCs w:val="20"/>
              </w:rPr>
            </w:pPr>
            <w:r w:rsidRPr="00F70EC1">
              <w:rPr>
                <w:sz w:val="20"/>
                <w:szCs w:val="20"/>
              </w:rPr>
              <w:t>2</w:t>
            </w:r>
            <w:r w:rsidR="008E464A">
              <w:rPr>
                <w:sz w:val="20"/>
                <w:szCs w:val="20"/>
              </w:rPr>
              <w:t>021</w:t>
            </w:r>
            <w:r w:rsidRPr="00F70EC1">
              <w:rPr>
                <w:sz w:val="20"/>
                <w:szCs w:val="20"/>
              </w:rPr>
              <w:t>-202</w:t>
            </w:r>
            <w:r w:rsidR="008E464A">
              <w:rPr>
                <w:sz w:val="20"/>
                <w:szCs w:val="20"/>
              </w:rPr>
              <w:t>2</w:t>
            </w:r>
          </w:p>
        </w:tc>
        <w:tc>
          <w:tcPr>
            <w:tcW w:w="3404" w:type="dxa"/>
            <w:gridSpan w:val="2"/>
          </w:tcPr>
          <w:p w14:paraId="600F7387" w14:textId="711106F9" w:rsidR="00FF3721" w:rsidRPr="003A4A0B" w:rsidRDefault="00FF3721" w:rsidP="00FF3721">
            <w:pPr>
              <w:pStyle w:val="BodyText"/>
              <w:rPr>
                <w:rFonts w:eastAsia="Times New Roman"/>
                <w:sz w:val="20"/>
                <w:szCs w:val="20"/>
              </w:rPr>
            </w:pPr>
          </w:p>
        </w:tc>
      </w:tr>
      <w:tr w:rsidR="00955915" w:rsidRPr="00286A2D" w14:paraId="62562A8E" w14:textId="77777777" w:rsidTr="00292DD8">
        <w:trPr>
          <w:cantSplit/>
          <w:trHeight w:val="1134"/>
        </w:trPr>
        <w:tc>
          <w:tcPr>
            <w:tcW w:w="984" w:type="dxa"/>
            <w:vMerge/>
          </w:tcPr>
          <w:p w14:paraId="04B9AAA9" w14:textId="77777777" w:rsidR="00FF3721" w:rsidRPr="002D6CCE" w:rsidRDefault="00FF3721" w:rsidP="00FF3721">
            <w:pPr>
              <w:pStyle w:val="BodyText"/>
              <w:spacing w:before="120" w:after="0"/>
              <w:rPr>
                <w:rFonts w:eastAsia="Times New Roman"/>
                <w:sz w:val="20"/>
                <w:szCs w:val="20"/>
              </w:rPr>
            </w:pPr>
          </w:p>
        </w:tc>
        <w:tc>
          <w:tcPr>
            <w:tcW w:w="1568" w:type="dxa"/>
            <w:gridSpan w:val="2"/>
            <w:vMerge/>
          </w:tcPr>
          <w:p w14:paraId="61D4BD41" w14:textId="77777777" w:rsidR="00FF3721" w:rsidRPr="002D6CCE" w:rsidRDefault="00FF3721" w:rsidP="00FF3721">
            <w:pPr>
              <w:pStyle w:val="BodyText"/>
              <w:spacing w:before="120" w:after="0"/>
              <w:rPr>
                <w:rFonts w:eastAsia="Times New Roman"/>
                <w:sz w:val="20"/>
                <w:szCs w:val="20"/>
              </w:rPr>
            </w:pPr>
          </w:p>
        </w:tc>
        <w:tc>
          <w:tcPr>
            <w:tcW w:w="4379" w:type="dxa"/>
            <w:vMerge/>
          </w:tcPr>
          <w:p w14:paraId="396D58BB" w14:textId="77777777" w:rsidR="00FF3721" w:rsidRDefault="00FF3721" w:rsidP="00FF3721">
            <w:pPr>
              <w:pStyle w:val="BodyTextIndentBullet"/>
              <w:numPr>
                <w:ilvl w:val="0"/>
                <w:numId w:val="0"/>
              </w:numPr>
              <w:spacing w:before="120"/>
              <w:ind w:left="44"/>
              <w:rPr>
                <w:szCs w:val="20"/>
              </w:rPr>
            </w:pPr>
          </w:p>
        </w:tc>
        <w:tc>
          <w:tcPr>
            <w:tcW w:w="3688" w:type="dxa"/>
            <w:vMerge/>
          </w:tcPr>
          <w:p w14:paraId="32F1C9E9" w14:textId="77777777" w:rsidR="00FF3721" w:rsidRDefault="00FF3721" w:rsidP="00FF3721">
            <w:pPr>
              <w:pStyle w:val="BodyText"/>
              <w:spacing w:before="120" w:after="0"/>
              <w:rPr>
                <w:rFonts w:eastAsia="Times New Roman"/>
                <w:sz w:val="20"/>
                <w:szCs w:val="20"/>
              </w:rPr>
            </w:pPr>
          </w:p>
        </w:tc>
        <w:tc>
          <w:tcPr>
            <w:tcW w:w="427" w:type="dxa"/>
            <w:vMerge/>
            <w:textDirection w:val="btLr"/>
            <w:vAlign w:val="center"/>
          </w:tcPr>
          <w:p w14:paraId="00DBD088" w14:textId="77777777" w:rsidR="00FF3721" w:rsidRPr="00286A2D" w:rsidRDefault="00FF3721" w:rsidP="00FF3721">
            <w:pPr>
              <w:pStyle w:val="Heading2"/>
              <w:spacing w:before="120" w:line="360" w:lineRule="auto"/>
              <w:ind w:left="113" w:right="113"/>
              <w:jc w:val="center"/>
              <w:outlineLvl w:val="1"/>
              <w:rPr>
                <w:b w:val="0"/>
                <w:color w:val="auto"/>
                <w:sz w:val="20"/>
              </w:rPr>
            </w:pPr>
          </w:p>
        </w:tc>
        <w:tc>
          <w:tcPr>
            <w:tcW w:w="428" w:type="dxa"/>
            <w:vMerge/>
            <w:textDirection w:val="btLr"/>
            <w:vAlign w:val="center"/>
          </w:tcPr>
          <w:p w14:paraId="0BDB9F91" w14:textId="77777777" w:rsidR="00FF3721" w:rsidRPr="00286A2D" w:rsidRDefault="00FF3721" w:rsidP="00FF3721">
            <w:pPr>
              <w:pStyle w:val="Heading2"/>
              <w:spacing w:before="120" w:line="360" w:lineRule="auto"/>
              <w:ind w:left="113" w:right="113"/>
              <w:jc w:val="center"/>
              <w:outlineLvl w:val="1"/>
              <w:rPr>
                <w:b w:val="0"/>
                <w:color w:val="auto"/>
                <w:sz w:val="20"/>
              </w:rPr>
            </w:pPr>
          </w:p>
        </w:tc>
        <w:tc>
          <w:tcPr>
            <w:tcW w:w="568" w:type="dxa"/>
            <w:vMerge/>
            <w:shd w:val="clear" w:color="auto" w:fill="FFFF00"/>
            <w:textDirection w:val="btLr"/>
          </w:tcPr>
          <w:p w14:paraId="03852CF6" w14:textId="77777777" w:rsidR="00FF3721" w:rsidRPr="00BB5DB0" w:rsidRDefault="00FF3721" w:rsidP="00FF3721">
            <w:pPr>
              <w:jc w:val="center"/>
              <w:rPr>
                <w:b/>
                <w:sz w:val="20"/>
                <w:szCs w:val="20"/>
              </w:rPr>
            </w:pPr>
          </w:p>
        </w:tc>
        <w:tc>
          <w:tcPr>
            <w:tcW w:w="5382" w:type="dxa"/>
          </w:tcPr>
          <w:p w14:paraId="271A8996" w14:textId="04E91D6D" w:rsidR="00FF3721" w:rsidRDefault="00FF3721" w:rsidP="00FF3721">
            <w:pPr>
              <w:pStyle w:val="BodyText"/>
              <w:spacing w:before="120" w:after="0"/>
              <w:rPr>
                <w:rFonts w:eastAsia="Times New Roman"/>
                <w:b/>
                <w:sz w:val="20"/>
                <w:szCs w:val="20"/>
              </w:rPr>
            </w:pPr>
            <w:r>
              <w:rPr>
                <w:rFonts w:eastAsia="Times New Roman"/>
                <w:b/>
                <w:sz w:val="20"/>
                <w:szCs w:val="20"/>
              </w:rPr>
              <w:t xml:space="preserve">Risk Treatment </w:t>
            </w:r>
            <w:r w:rsidR="00A95825">
              <w:rPr>
                <w:rFonts w:eastAsia="Times New Roman"/>
                <w:b/>
                <w:sz w:val="20"/>
                <w:szCs w:val="20"/>
              </w:rPr>
              <w:t>202</w:t>
            </w:r>
            <w:r w:rsidR="00B56CF5">
              <w:rPr>
                <w:rFonts w:eastAsia="Times New Roman"/>
                <w:b/>
                <w:sz w:val="20"/>
                <w:szCs w:val="20"/>
              </w:rPr>
              <w:t>1</w:t>
            </w:r>
            <w:r>
              <w:rPr>
                <w:rFonts w:eastAsia="Times New Roman"/>
                <w:b/>
                <w:sz w:val="20"/>
                <w:szCs w:val="20"/>
              </w:rPr>
              <w:t>/0</w:t>
            </w:r>
            <w:r w:rsidR="008A2A89">
              <w:rPr>
                <w:rFonts w:eastAsia="Times New Roman"/>
                <w:b/>
                <w:sz w:val="20"/>
                <w:szCs w:val="20"/>
              </w:rPr>
              <w:t>4</w:t>
            </w:r>
            <w:r>
              <w:rPr>
                <w:rFonts w:eastAsia="Times New Roman"/>
                <w:b/>
                <w:sz w:val="20"/>
                <w:szCs w:val="20"/>
              </w:rPr>
              <w:t>/F:  Incident Review</w:t>
            </w:r>
            <w:r w:rsidR="00DE34C9">
              <w:rPr>
                <w:rFonts w:eastAsia="Times New Roman"/>
                <w:b/>
                <w:sz w:val="20"/>
                <w:szCs w:val="20"/>
              </w:rPr>
              <w:t>s</w:t>
            </w:r>
          </w:p>
          <w:p w14:paraId="401D01C4" w14:textId="66455E01" w:rsidR="00FF3721" w:rsidRDefault="00FF3721" w:rsidP="00FF3721">
            <w:pPr>
              <w:pStyle w:val="BodyText"/>
              <w:spacing w:before="120" w:after="0"/>
              <w:rPr>
                <w:rFonts w:eastAsia="Times New Roman"/>
                <w:b/>
                <w:sz w:val="20"/>
                <w:szCs w:val="20"/>
              </w:rPr>
            </w:pPr>
            <w:r>
              <w:rPr>
                <w:rFonts w:eastAsia="Times New Roman"/>
                <w:sz w:val="20"/>
                <w:szCs w:val="20"/>
              </w:rPr>
              <w:t>Independent r</w:t>
            </w:r>
            <w:r w:rsidRPr="003407EA">
              <w:rPr>
                <w:rFonts w:eastAsia="Times New Roman"/>
                <w:sz w:val="20"/>
                <w:szCs w:val="20"/>
              </w:rPr>
              <w:t>eview of randomly or targeted SAROPs.</w:t>
            </w:r>
            <w:r>
              <w:rPr>
                <w:rFonts w:eastAsia="Times New Roman"/>
                <w:sz w:val="20"/>
                <w:szCs w:val="20"/>
              </w:rPr>
              <w:t xml:space="preserve">  Use the results to inform and update SAR </w:t>
            </w:r>
            <w:r w:rsidR="00DD00A3">
              <w:rPr>
                <w:rFonts w:eastAsia="Times New Roman"/>
                <w:sz w:val="20"/>
                <w:szCs w:val="20"/>
              </w:rPr>
              <w:t xml:space="preserve">practice, </w:t>
            </w:r>
            <w:proofErr w:type="gramStart"/>
            <w:r>
              <w:rPr>
                <w:rFonts w:eastAsia="Times New Roman"/>
                <w:sz w:val="20"/>
                <w:szCs w:val="20"/>
              </w:rPr>
              <w:t>doctrine</w:t>
            </w:r>
            <w:proofErr w:type="gramEnd"/>
            <w:r>
              <w:rPr>
                <w:rFonts w:eastAsia="Times New Roman"/>
                <w:sz w:val="20"/>
                <w:szCs w:val="20"/>
              </w:rPr>
              <w:t xml:space="preserve"> and training material</w:t>
            </w:r>
            <w:r w:rsidR="00DD00A3">
              <w:rPr>
                <w:rFonts w:eastAsia="Times New Roman"/>
                <w:sz w:val="20"/>
                <w:szCs w:val="20"/>
              </w:rPr>
              <w:t>.</w:t>
            </w:r>
            <w:r>
              <w:rPr>
                <w:rFonts w:eastAsia="Times New Roman"/>
                <w:sz w:val="20"/>
                <w:szCs w:val="20"/>
              </w:rPr>
              <w:t xml:space="preserve"> </w:t>
            </w:r>
          </w:p>
        </w:tc>
        <w:tc>
          <w:tcPr>
            <w:tcW w:w="712" w:type="dxa"/>
            <w:shd w:val="clear" w:color="auto" w:fill="00B050"/>
            <w:textDirection w:val="btLr"/>
            <w:vAlign w:val="center"/>
          </w:tcPr>
          <w:p w14:paraId="3DAA365A" w14:textId="44CC048C" w:rsidR="00FF3721" w:rsidRPr="008E464A" w:rsidRDefault="008E464A" w:rsidP="008E464A">
            <w:pPr>
              <w:ind w:left="113" w:right="113"/>
              <w:jc w:val="center"/>
              <w:rPr>
                <w:sz w:val="20"/>
                <w:szCs w:val="20"/>
              </w:rPr>
            </w:pPr>
            <w:r w:rsidRPr="008E464A">
              <w:rPr>
                <w:sz w:val="20"/>
                <w:szCs w:val="20"/>
              </w:rPr>
              <w:t>Full</w:t>
            </w:r>
          </w:p>
        </w:tc>
        <w:tc>
          <w:tcPr>
            <w:tcW w:w="712" w:type="dxa"/>
            <w:shd w:val="clear" w:color="auto" w:fill="FFFF00"/>
            <w:textDirection w:val="btLr"/>
            <w:vAlign w:val="center"/>
          </w:tcPr>
          <w:p w14:paraId="33D99C3A" w14:textId="43E124B9" w:rsidR="00FF3721" w:rsidRPr="00F70EC1" w:rsidRDefault="00DD00A3" w:rsidP="00FF3721">
            <w:pPr>
              <w:ind w:left="113" w:right="113"/>
              <w:jc w:val="center"/>
              <w:rPr>
                <w:sz w:val="20"/>
                <w:szCs w:val="20"/>
              </w:rPr>
            </w:pPr>
            <w:r>
              <w:rPr>
                <w:sz w:val="20"/>
                <w:szCs w:val="20"/>
              </w:rPr>
              <w:t>O</w:t>
            </w:r>
            <w:r w:rsidR="008E464A">
              <w:rPr>
                <w:sz w:val="20"/>
                <w:szCs w:val="20"/>
              </w:rPr>
              <w:t>ngoing</w:t>
            </w:r>
          </w:p>
        </w:tc>
        <w:tc>
          <w:tcPr>
            <w:tcW w:w="3404" w:type="dxa"/>
            <w:gridSpan w:val="2"/>
          </w:tcPr>
          <w:p w14:paraId="3E4B1AF6" w14:textId="1FC49CD2" w:rsidR="00FF3721" w:rsidRPr="003A4A0B" w:rsidRDefault="00FF3721" w:rsidP="00FF3721">
            <w:pPr>
              <w:pStyle w:val="BodyText"/>
              <w:rPr>
                <w:rFonts w:eastAsia="Times New Roman"/>
                <w:sz w:val="20"/>
                <w:szCs w:val="20"/>
              </w:rPr>
            </w:pPr>
          </w:p>
        </w:tc>
      </w:tr>
      <w:tr w:rsidR="00955915" w:rsidRPr="00286A2D" w14:paraId="19E263D9" w14:textId="77777777" w:rsidTr="00292DD8">
        <w:trPr>
          <w:cantSplit/>
          <w:trHeight w:val="1134"/>
        </w:trPr>
        <w:tc>
          <w:tcPr>
            <w:tcW w:w="984" w:type="dxa"/>
            <w:vMerge/>
          </w:tcPr>
          <w:p w14:paraId="1EAB659A" w14:textId="77777777" w:rsidR="00E730FA" w:rsidRPr="002D6CCE" w:rsidRDefault="00E730FA" w:rsidP="00E730FA">
            <w:pPr>
              <w:pStyle w:val="BodyText"/>
              <w:spacing w:before="120" w:after="0"/>
              <w:rPr>
                <w:rFonts w:eastAsia="Times New Roman"/>
                <w:sz w:val="20"/>
                <w:szCs w:val="20"/>
              </w:rPr>
            </w:pPr>
          </w:p>
        </w:tc>
        <w:tc>
          <w:tcPr>
            <w:tcW w:w="1568" w:type="dxa"/>
            <w:gridSpan w:val="2"/>
            <w:vMerge/>
          </w:tcPr>
          <w:p w14:paraId="30657A85" w14:textId="77777777" w:rsidR="00E730FA" w:rsidRPr="002D6CCE" w:rsidRDefault="00E730FA" w:rsidP="00E730FA">
            <w:pPr>
              <w:pStyle w:val="BodyText"/>
              <w:spacing w:before="120" w:after="0"/>
              <w:rPr>
                <w:rFonts w:eastAsia="Times New Roman"/>
                <w:sz w:val="20"/>
                <w:szCs w:val="20"/>
              </w:rPr>
            </w:pPr>
          </w:p>
        </w:tc>
        <w:tc>
          <w:tcPr>
            <w:tcW w:w="4379" w:type="dxa"/>
            <w:vMerge/>
          </w:tcPr>
          <w:p w14:paraId="401A1549" w14:textId="77777777" w:rsidR="00E730FA" w:rsidRDefault="00E730FA" w:rsidP="00E730FA">
            <w:pPr>
              <w:pStyle w:val="BodyTextIndentBullet"/>
              <w:numPr>
                <w:ilvl w:val="0"/>
                <w:numId w:val="0"/>
              </w:numPr>
              <w:spacing w:before="120"/>
              <w:ind w:left="44"/>
              <w:rPr>
                <w:szCs w:val="20"/>
              </w:rPr>
            </w:pPr>
          </w:p>
        </w:tc>
        <w:tc>
          <w:tcPr>
            <w:tcW w:w="3688" w:type="dxa"/>
            <w:vMerge/>
          </w:tcPr>
          <w:p w14:paraId="43AF6A9C" w14:textId="77777777" w:rsidR="00E730FA" w:rsidRDefault="00E730FA" w:rsidP="00E730FA">
            <w:pPr>
              <w:pStyle w:val="BodyText"/>
              <w:spacing w:before="120" w:after="0"/>
              <w:rPr>
                <w:rFonts w:eastAsia="Times New Roman"/>
                <w:sz w:val="20"/>
                <w:szCs w:val="20"/>
              </w:rPr>
            </w:pPr>
          </w:p>
        </w:tc>
        <w:tc>
          <w:tcPr>
            <w:tcW w:w="427" w:type="dxa"/>
            <w:vMerge/>
            <w:textDirection w:val="btLr"/>
            <w:vAlign w:val="center"/>
          </w:tcPr>
          <w:p w14:paraId="3B99BB63" w14:textId="77777777" w:rsidR="00E730FA" w:rsidRPr="00286A2D" w:rsidRDefault="00E730FA" w:rsidP="00E730FA">
            <w:pPr>
              <w:pStyle w:val="Heading2"/>
              <w:spacing w:before="120" w:line="360" w:lineRule="auto"/>
              <w:ind w:left="113" w:right="113"/>
              <w:jc w:val="center"/>
              <w:outlineLvl w:val="1"/>
              <w:rPr>
                <w:b w:val="0"/>
                <w:color w:val="auto"/>
                <w:sz w:val="20"/>
              </w:rPr>
            </w:pPr>
          </w:p>
        </w:tc>
        <w:tc>
          <w:tcPr>
            <w:tcW w:w="428" w:type="dxa"/>
            <w:vMerge/>
            <w:textDirection w:val="btLr"/>
            <w:vAlign w:val="center"/>
          </w:tcPr>
          <w:p w14:paraId="13B6A134" w14:textId="77777777" w:rsidR="00E730FA" w:rsidRPr="00286A2D" w:rsidRDefault="00E730FA" w:rsidP="00E730FA">
            <w:pPr>
              <w:pStyle w:val="Heading2"/>
              <w:spacing w:before="120" w:line="360" w:lineRule="auto"/>
              <w:ind w:left="113" w:right="113"/>
              <w:jc w:val="center"/>
              <w:outlineLvl w:val="1"/>
              <w:rPr>
                <w:b w:val="0"/>
                <w:color w:val="auto"/>
                <w:sz w:val="20"/>
              </w:rPr>
            </w:pPr>
          </w:p>
        </w:tc>
        <w:tc>
          <w:tcPr>
            <w:tcW w:w="568" w:type="dxa"/>
            <w:shd w:val="clear" w:color="auto" w:fill="FFFF00"/>
            <w:textDirection w:val="btLr"/>
          </w:tcPr>
          <w:p w14:paraId="6053125E" w14:textId="4E77BC3D" w:rsidR="00E730FA" w:rsidRPr="00BB5DB0" w:rsidRDefault="00E730FA" w:rsidP="00E730FA">
            <w:pPr>
              <w:jc w:val="center"/>
              <w:rPr>
                <w:b/>
                <w:sz w:val="20"/>
                <w:szCs w:val="20"/>
              </w:rPr>
            </w:pPr>
            <w:r w:rsidRPr="00BB5DB0">
              <w:rPr>
                <w:b/>
                <w:sz w:val="20"/>
                <w:szCs w:val="20"/>
              </w:rPr>
              <w:t>(July 19)</w:t>
            </w:r>
          </w:p>
        </w:tc>
        <w:tc>
          <w:tcPr>
            <w:tcW w:w="5382" w:type="dxa"/>
          </w:tcPr>
          <w:p w14:paraId="6DF48F1D" w14:textId="09835971" w:rsidR="00E730FA" w:rsidRDefault="00E730FA" w:rsidP="00E730FA">
            <w:pPr>
              <w:pStyle w:val="BodyText"/>
              <w:spacing w:before="120" w:after="0"/>
              <w:rPr>
                <w:rFonts w:eastAsia="Times New Roman"/>
                <w:b/>
                <w:sz w:val="20"/>
                <w:szCs w:val="20"/>
              </w:rPr>
            </w:pPr>
            <w:r>
              <w:rPr>
                <w:rFonts w:eastAsia="Times New Roman"/>
                <w:b/>
                <w:sz w:val="20"/>
                <w:szCs w:val="20"/>
              </w:rPr>
              <w:t xml:space="preserve">Risk Treatment </w:t>
            </w:r>
            <w:r w:rsidR="00A95825">
              <w:rPr>
                <w:rFonts w:eastAsia="Times New Roman"/>
                <w:b/>
                <w:sz w:val="20"/>
                <w:szCs w:val="20"/>
              </w:rPr>
              <w:t>202</w:t>
            </w:r>
            <w:r w:rsidR="00307A7F">
              <w:rPr>
                <w:rFonts w:eastAsia="Times New Roman"/>
                <w:b/>
                <w:sz w:val="20"/>
                <w:szCs w:val="20"/>
              </w:rPr>
              <w:t>1</w:t>
            </w:r>
            <w:r>
              <w:rPr>
                <w:rFonts w:eastAsia="Times New Roman"/>
                <w:b/>
                <w:sz w:val="20"/>
                <w:szCs w:val="20"/>
              </w:rPr>
              <w:t>/0</w:t>
            </w:r>
            <w:r w:rsidR="008A2A89">
              <w:rPr>
                <w:rFonts w:eastAsia="Times New Roman"/>
                <w:b/>
                <w:sz w:val="20"/>
                <w:szCs w:val="20"/>
              </w:rPr>
              <w:t>4</w:t>
            </w:r>
            <w:r>
              <w:rPr>
                <w:rFonts w:eastAsia="Times New Roman"/>
                <w:b/>
                <w:sz w:val="20"/>
                <w:szCs w:val="20"/>
              </w:rPr>
              <w:t>/G:  Doctrinal Basis</w:t>
            </w:r>
          </w:p>
          <w:p w14:paraId="5A234C1C" w14:textId="7B3F305B" w:rsidR="00E730FA" w:rsidRDefault="00E730FA" w:rsidP="00E730FA">
            <w:pPr>
              <w:pStyle w:val="BodyText"/>
              <w:spacing w:before="120" w:after="0"/>
              <w:rPr>
                <w:rFonts w:eastAsia="Times New Roman"/>
                <w:sz w:val="20"/>
                <w:szCs w:val="20"/>
              </w:rPr>
            </w:pPr>
            <w:r>
              <w:rPr>
                <w:rFonts w:eastAsia="Times New Roman"/>
                <w:sz w:val="20"/>
                <w:szCs w:val="20"/>
              </w:rPr>
              <w:t>Maintain agreed, unified doctrinal documentation for the conduct of SAR in New Zealand.</w:t>
            </w:r>
          </w:p>
          <w:p w14:paraId="172BC2B0" w14:textId="77777777" w:rsidR="00E730FA" w:rsidRDefault="00E730FA" w:rsidP="00E730FA">
            <w:pPr>
              <w:pStyle w:val="BodyText"/>
              <w:spacing w:before="120" w:after="0"/>
              <w:rPr>
                <w:rFonts w:eastAsia="Times New Roman"/>
                <w:b/>
                <w:sz w:val="20"/>
                <w:szCs w:val="20"/>
              </w:rPr>
            </w:pPr>
          </w:p>
        </w:tc>
        <w:tc>
          <w:tcPr>
            <w:tcW w:w="712" w:type="dxa"/>
            <w:shd w:val="clear" w:color="auto" w:fill="00B050"/>
            <w:textDirection w:val="btLr"/>
            <w:vAlign w:val="center"/>
          </w:tcPr>
          <w:p w14:paraId="3B15BC26" w14:textId="2B88B6F7" w:rsidR="00E730FA" w:rsidRPr="00BB5DB0" w:rsidRDefault="00D84CAD" w:rsidP="00E730FA">
            <w:pPr>
              <w:jc w:val="center"/>
              <w:rPr>
                <w:b/>
                <w:sz w:val="20"/>
                <w:szCs w:val="20"/>
              </w:rPr>
            </w:pPr>
            <w:r>
              <w:rPr>
                <w:rFonts w:eastAsia="Times New Roman"/>
                <w:sz w:val="20"/>
                <w:szCs w:val="20"/>
              </w:rPr>
              <w:t>Full</w:t>
            </w:r>
          </w:p>
        </w:tc>
        <w:tc>
          <w:tcPr>
            <w:tcW w:w="712" w:type="dxa"/>
            <w:shd w:val="clear" w:color="auto" w:fill="00B050"/>
            <w:textDirection w:val="btLr"/>
            <w:vAlign w:val="center"/>
          </w:tcPr>
          <w:p w14:paraId="04D89EBA" w14:textId="14C09FAC" w:rsidR="00E730FA" w:rsidRPr="00F70EC1" w:rsidRDefault="004D4376" w:rsidP="00E730FA">
            <w:pPr>
              <w:ind w:left="113" w:right="113"/>
              <w:jc w:val="center"/>
              <w:rPr>
                <w:sz w:val="20"/>
                <w:szCs w:val="20"/>
              </w:rPr>
            </w:pPr>
            <w:r>
              <w:rPr>
                <w:sz w:val="20"/>
                <w:szCs w:val="20"/>
              </w:rPr>
              <w:t>Ongoing</w:t>
            </w:r>
          </w:p>
        </w:tc>
        <w:tc>
          <w:tcPr>
            <w:tcW w:w="3404" w:type="dxa"/>
            <w:gridSpan w:val="2"/>
            <w:vAlign w:val="center"/>
          </w:tcPr>
          <w:p w14:paraId="054DEF4F" w14:textId="174C3589" w:rsidR="00E730FA" w:rsidRPr="003A4A0B" w:rsidRDefault="00E730FA" w:rsidP="00E730FA">
            <w:pPr>
              <w:pStyle w:val="BodyText"/>
              <w:rPr>
                <w:rFonts w:eastAsia="Times New Roman"/>
                <w:sz w:val="20"/>
                <w:szCs w:val="20"/>
              </w:rPr>
            </w:pPr>
            <w:r>
              <w:rPr>
                <w:rFonts w:eastAsia="Times New Roman"/>
                <w:sz w:val="20"/>
                <w:szCs w:val="20"/>
              </w:rPr>
              <w:t>New Zealand SAR Guidelines</w:t>
            </w:r>
            <w:r w:rsidR="00D84CAD">
              <w:rPr>
                <w:rFonts w:eastAsia="Times New Roman"/>
                <w:sz w:val="20"/>
                <w:szCs w:val="20"/>
              </w:rPr>
              <w:t xml:space="preserve"> are available but need </w:t>
            </w:r>
            <w:r w:rsidR="00DD00A3">
              <w:rPr>
                <w:rFonts w:eastAsia="Times New Roman"/>
                <w:sz w:val="20"/>
                <w:szCs w:val="20"/>
              </w:rPr>
              <w:t>further s</w:t>
            </w:r>
            <w:r w:rsidR="00D84CAD">
              <w:rPr>
                <w:rFonts w:eastAsia="Times New Roman"/>
                <w:sz w:val="20"/>
                <w:szCs w:val="20"/>
              </w:rPr>
              <w:t>ocialis</w:t>
            </w:r>
            <w:r w:rsidR="00DD00A3">
              <w:rPr>
                <w:rFonts w:eastAsia="Times New Roman"/>
                <w:sz w:val="20"/>
                <w:szCs w:val="20"/>
              </w:rPr>
              <w:t xml:space="preserve">ation </w:t>
            </w:r>
            <w:r w:rsidR="00D84CAD">
              <w:rPr>
                <w:rFonts w:eastAsia="Times New Roman"/>
                <w:sz w:val="20"/>
                <w:szCs w:val="20"/>
              </w:rPr>
              <w:t>across the sector.</w:t>
            </w:r>
            <w:r w:rsidR="00EE6A0A">
              <w:rPr>
                <w:rFonts w:eastAsia="Times New Roman"/>
                <w:sz w:val="20"/>
                <w:szCs w:val="20"/>
              </w:rPr>
              <w:t xml:space="preserve"> </w:t>
            </w:r>
          </w:p>
        </w:tc>
      </w:tr>
    </w:tbl>
    <w:p w14:paraId="0AE8B262" w14:textId="450E0B33" w:rsidR="00324F84" w:rsidRDefault="00324F84"/>
    <w:p w14:paraId="46D072CD" w14:textId="45D1030E" w:rsidR="009917A4" w:rsidRDefault="009917A4"/>
    <w:p w14:paraId="7E6F0F17" w14:textId="05A2F1DA" w:rsidR="009917A4" w:rsidRDefault="009917A4"/>
    <w:p w14:paraId="5724DB7C" w14:textId="3C051317" w:rsidR="009917A4" w:rsidRDefault="009917A4"/>
    <w:tbl>
      <w:tblPr>
        <w:tblStyle w:val="TableGrid"/>
        <w:tblW w:w="22397" w:type="dxa"/>
        <w:tblInd w:w="-459" w:type="dxa"/>
        <w:tblLayout w:type="fixed"/>
        <w:tblLook w:val="04A0" w:firstRow="1" w:lastRow="0" w:firstColumn="1" w:lastColumn="0" w:noHBand="0" w:noVBand="1"/>
      </w:tblPr>
      <w:tblGrid>
        <w:gridCol w:w="985"/>
        <w:gridCol w:w="1701"/>
        <w:gridCol w:w="4240"/>
        <w:gridCol w:w="3546"/>
        <w:gridCol w:w="428"/>
        <w:gridCol w:w="429"/>
        <w:gridCol w:w="856"/>
        <w:gridCol w:w="5384"/>
        <w:gridCol w:w="714"/>
        <w:gridCol w:w="854"/>
        <w:gridCol w:w="3260"/>
      </w:tblGrid>
      <w:tr w:rsidR="009917A4" w:rsidRPr="00286A2D" w14:paraId="71567EE3" w14:textId="77777777" w:rsidTr="009917A4">
        <w:trPr>
          <w:cantSplit/>
          <w:trHeight w:val="1760"/>
        </w:trPr>
        <w:tc>
          <w:tcPr>
            <w:tcW w:w="985" w:type="dxa"/>
            <w:shd w:val="clear" w:color="auto" w:fill="FBD4B4" w:themeFill="accent6" w:themeFillTint="66"/>
            <w:textDirection w:val="btLr"/>
            <w:vAlign w:val="center"/>
          </w:tcPr>
          <w:p w14:paraId="0BD07A46" w14:textId="77777777" w:rsidR="009917A4" w:rsidRPr="00286A2D" w:rsidRDefault="009917A4" w:rsidP="00A92280">
            <w:pPr>
              <w:spacing w:line="360" w:lineRule="auto"/>
              <w:ind w:left="113" w:right="113"/>
              <w:jc w:val="center"/>
              <w:rPr>
                <w:b/>
                <w:sz w:val="20"/>
                <w:szCs w:val="20"/>
              </w:rPr>
            </w:pPr>
            <w:r w:rsidRPr="00286A2D">
              <w:rPr>
                <w:b/>
                <w:sz w:val="20"/>
                <w:szCs w:val="20"/>
              </w:rPr>
              <w:t>Risk #</w:t>
            </w:r>
          </w:p>
        </w:tc>
        <w:tc>
          <w:tcPr>
            <w:tcW w:w="1701" w:type="dxa"/>
            <w:shd w:val="clear" w:color="auto" w:fill="FBD4B4" w:themeFill="accent6" w:themeFillTint="66"/>
            <w:vAlign w:val="center"/>
          </w:tcPr>
          <w:p w14:paraId="57EF872D" w14:textId="77777777" w:rsidR="009917A4" w:rsidRPr="00286A2D" w:rsidRDefault="009917A4" w:rsidP="00A92280">
            <w:pPr>
              <w:jc w:val="center"/>
              <w:rPr>
                <w:b/>
                <w:sz w:val="20"/>
                <w:szCs w:val="20"/>
              </w:rPr>
            </w:pPr>
            <w:r w:rsidRPr="00286A2D">
              <w:rPr>
                <w:b/>
                <w:sz w:val="20"/>
                <w:szCs w:val="20"/>
              </w:rPr>
              <w:t>Risk Description</w:t>
            </w:r>
          </w:p>
        </w:tc>
        <w:tc>
          <w:tcPr>
            <w:tcW w:w="4240" w:type="dxa"/>
            <w:shd w:val="clear" w:color="auto" w:fill="FBD4B4" w:themeFill="accent6" w:themeFillTint="66"/>
            <w:vAlign w:val="center"/>
          </w:tcPr>
          <w:p w14:paraId="1B21A896" w14:textId="77777777" w:rsidR="009917A4" w:rsidRPr="00286A2D" w:rsidRDefault="009917A4" w:rsidP="00A92280">
            <w:pPr>
              <w:jc w:val="center"/>
              <w:rPr>
                <w:b/>
                <w:sz w:val="20"/>
                <w:szCs w:val="20"/>
              </w:rPr>
            </w:pPr>
            <w:r w:rsidRPr="00286A2D">
              <w:rPr>
                <w:b/>
                <w:sz w:val="20"/>
                <w:szCs w:val="20"/>
              </w:rPr>
              <w:t>Reasons or Causes</w:t>
            </w:r>
          </w:p>
        </w:tc>
        <w:tc>
          <w:tcPr>
            <w:tcW w:w="3546" w:type="dxa"/>
            <w:shd w:val="clear" w:color="auto" w:fill="FBD4B4" w:themeFill="accent6" w:themeFillTint="66"/>
            <w:vAlign w:val="center"/>
          </w:tcPr>
          <w:p w14:paraId="754D30CC" w14:textId="77777777" w:rsidR="009917A4" w:rsidRPr="00286A2D" w:rsidRDefault="009917A4" w:rsidP="00A92280">
            <w:pPr>
              <w:spacing w:line="360" w:lineRule="auto"/>
              <w:jc w:val="center"/>
              <w:rPr>
                <w:b/>
                <w:sz w:val="20"/>
                <w:szCs w:val="20"/>
              </w:rPr>
            </w:pPr>
            <w:r>
              <w:rPr>
                <w:b/>
                <w:sz w:val="20"/>
                <w:szCs w:val="20"/>
              </w:rPr>
              <w:t>Consequences</w:t>
            </w:r>
          </w:p>
        </w:tc>
        <w:tc>
          <w:tcPr>
            <w:tcW w:w="428" w:type="dxa"/>
            <w:shd w:val="clear" w:color="auto" w:fill="FBD4B4" w:themeFill="accent6" w:themeFillTint="66"/>
            <w:textDirection w:val="btLr"/>
          </w:tcPr>
          <w:p w14:paraId="2D55E5B1" w14:textId="77777777" w:rsidR="009917A4" w:rsidRPr="00286A2D" w:rsidRDefault="009917A4" w:rsidP="00A92280">
            <w:pPr>
              <w:spacing w:line="360" w:lineRule="auto"/>
              <w:ind w:left="113" w:right="113"/>
              <w:jc w:val="center"/>
              <w:rPr>
                <w:b/>
                <w:sz w:val="20"/>
                <w:szCs w:val="20"/>
              </w:rPr>
            </w:pPr>
            <w:r w:rsidRPr="00286A2D">
              <w:rPr>
                <w:b/>
                <w:sz w:val="20"/>
                <w:szCs w:val="20"/>
              </w:rPr>
              <w:t>Probability</w:t>
            </w:r>
          </w:p>
        </w:tc>
        <w:tc>
          <w:tcPr>
            <w:tcW w:w="429" w:type="dxa"/>
            <w:shd w:val="clear" w:color="auto" w:fill="FBD4B4" w:themeFill="accent6" w:themeFillTint="66"/>
            <w:textDirection w:val="btLr"/>
          </w:tcPr>
          <w:p w14:paraId="53597A36" w14:textId="77777777" w:rsidR="009917A4" w:rsidRPr="00286A2D" w:rsidRDefault="009917A4" w:rsidP="00A92280">
            <w:pPr>
              <w:spacing w:line="360" w:lineRule="auto"/>
              <w:ind w:left="113" w:right="113"/>
              <w:jc w:val="center"/>
              <w:rPr>
                <w:b/>
                <w:sz w:val="20"/>
                <w:szCs w:val="20"/>
              </w:rPr>
            </w:pPr>
            <w:r w:rsidRPr="00286A2D">
              <w:rPr>
                <w:b/>
                <w:sz w:val="20"/>
                <w:szCs w:val="20"/>
              </w:rPr>
              <w:t>Impact</w:t>
            </w:r>
          </w:p>
        </w:tc>
        <w:tc>
          <w:tcPr>
            <w:tcW w:w="856" w:type="dxa"/>
            <w:shd w:val="clear" w:color="auto" w:fill="FBD4B4" w:themeFill="accent6" w:themeFillTint="66"/>
            <w:textDirection w:val="btLr"/>
          </w:tcPr>
          <w:p w14:paraId="2AB24B53" w14:textId="77777777" w:rsidR="009917A4" w:rsidRPr="00286A2D" w:rsidRDefault="009917A4" w:rsidP="00A92280">
            <w:pPr>
              <w:jc w:val="center"/>
              <w:rPr>
                <w:b/>
                <w:sz w:val="20"/>
                <w:szCs w:val="20"/>
              </w:rPr>
            </w:pPr>
            <w:r>
              <w:rPr>
                <w:b/>
                <w:sz w:val="20"/>
                <w:szCs w:val="20"/>
              </w:rPr>
              <w:t xml:space="preserve">Risk </w:t>
            </w:r>
            <w:r w:rsidRPr="00286A2D">
              <w:rPr>
                <w:b/>
                <w:sz w:val="20"/>
                <w:szCs w:val="20"/>
              </w:rPr>
              <w:t>Level</w:t>
            </w:r>
            <w:r>
              <w:rPr>
                <w:b/>
                <w:sz w:val="20"/>
                <w:szCs w:val="20"/>
              </w:rPr>
              <w:t xml:space="preserve"> (Reviewed)</w:t>
            </w:r>
          </w:p>
        </w:tc>
        <w:tc>
          <w:tcPr>
            <w:tcW w:w="5384" w:type="dxa"/>
            <w:shd w:val="clear" w:color="auto" w:fill="FBD4B4" w:themeFill="accent6" w:themeFillTint="66"/>
            <w:vAlign w:val="center"/>
          </w:tcPr>
          <w:p w14:paraId="15008399" w14:textId="77777777" w:rsidR="009917A4" w:rsidRPr="00286A2D" w:rsidRDefault="009917A4" w:rsidP="00A92280">
            <w:pPr>
              <w:jc w:val="center"/>
              <w:rPr>
                <w:b/>
                <w:sz w:val="20"/>
                <w:szCs w:val="20"/>
              </w:rPr>
            </w:pPr>
            <w:r>
              <w:rPr>
                <w:b/>
                <w:sz w:val="20"/>
                <w:szCs w:val="20"/>
              </w:rPr>
              <w:t>Risk Treatment(s)</w:t>
            </w:r>
          </w:p>
        </w:tc>
        <w:tc>
          <w:tcPr>
            <w:tcW w:w="714" w:type="dxa"/>
            <w:shd w:val="clear" w:color="auto" w:fill="FBD4B4" w:themeFill="accent6" w:themeFillTint="66"/>
            <w:textDirection w:val="btLr"/>
          </w:tcPr>
          <w:p w14:paraId="4FC55342" w14:textId="77777777" w:rsidR="009917A4" w:rsidRDefault="009917A4" w:rsidP="00A92280">
            <w:pPr>
              <w:ind w:left="113" w:right="113"/>
              <w:jc w:val="center"/>
              <w:rPr>
                <w:b/>
                <w:sz w:val="20"/>
                <w:szCs w:val="20"/>
              </w:rPr>
            </w:pPr>
            <w:r>
              <w:rPr>
                <w:b/>
                <w:sz w:val="20"/>
                <w:szCs w:val="20"/>
              </w:rPr>
              <w:t>Treatment Implementation</w:t>
            </w:r>
          </w:p>
        </w:tc>
        <w:tc>
          <w:tcPr>
            <w:tcW w:w="854" w:type="dxa"/>
            <w:shd w:val="clear" w:color="auto" w:fill="FBD4B4" w:themeFill="accent6" w:themeFillTint="66"/>
            <w:textDirection w:val="btLr"/>
            <w:vAlign w:val="center"/>
          </w:tcPr>
          <w:p w14:paraId="6017DA2D" w14:textId="77777777" w:rsidR="009917A4" w:rsidRDefault="009917A4" w:rsidP="00A92280">
            <w:pPr>
              <w:jc w:val="center"/>
              <w:rPr>
                <w:b/>
                <w:sz w:val="20"/>
                <w:szCs w:val="20"/>
              </w:rPr>
            </w:pPr>
            <w:r>
              <w:rPr>
                <w:b/>
                <w:sz w:val="20"/>
                <w:szCs w:val="20"/>
              </w:rPr>
              <w:t>Post Treatment</w:t>
            </w:r>
          </w:p>
          <w:p w14:paraId="0E19C9F7" w14:textId="77777777" w:rsidR="009917A4" w:rsidRPr="00286A2D" w:rsidRDefault="009917A4" w:rsidP="00A92280">
            <w:pPr>
              <w:ind w:left="113" w:right="113"/>
              <w:jc w:val="center"/>
              <w:rPr>
                <w:b/>
                <w:sz w:val="20"/>
                <w:szCs w:val="20"/>
              </w:rPr>
            </w:pPr>
            <w:r>
              <w:rPr>
                <w:b/>
                <w:sz w:val="20"/>
                <w:szCs w:val="20"/>
              </w:rPr>
              <w:t>Impact</w:t>
            </w:r>
            <w:r w:rsidRPr="00286A2D">
              <w:rPr>
                <w:b/>
                <w:sz w:val="20"/>
                <w:szCs w:val="20"/>
              </w:rPr>
              <w:t xml:space="preserve"> </w:t>
            </w:r>
          </w:p>
        </w:tc>
        <w:tc>
          <w:tcPr>
            <w:tcW w:w="3260" w:type="dxa"/>
            <w:shd w:val="clear" w:color="auto" w:fill="FBD4B4" w:themeFill="accent6" w:themeFillTint="66"/>
            <w:vAlign w:val="center"/>
          </w:tcPr>
          <w:p w14:paraId="0E65C580" w14:textId="77777777" w:rsidR="009917A4" w:rsidRPr="00286A2D" w:rsidRDefault="009917A4" w:rsidP="00A92280">
            <w:pPr>
              <w:jc w:val="center"/>
              <w:rPr>
                <w:b/>
                <w:sz w:val="20"/>
                <w:szCs w:val="20"/>
              </w:rPr>
            </w:pPr>
            <w:r>
              <w:rPr>
                <w:b/>
                <w:sz w:val="20"/>
                <w:szCs w:val="20"/>
              </w:rPr>
              <w:t>Comments/Examples</w:t>
            </w:r>
          </w:p>
        </w:tc>
      </w:tr>
      <w:tr w:rsidR="00006E2F" w:rsidRPr="00286A2D" w14:paraId="0C67F32D" w14:textId="77777777" w:rsidTr="00DD3830">
        <w:trPr>
          <w:cantSplit/>
          <w:trHeight w:val="820"/>
        </w:trPr>
        <w:tc>
          <w:tcPr>
            <w:tcW w:w="985" w:type="dxa"/>
            <w:vMerge w:val="restart"/>
          </w:tcPr>
          <w:p w14:paraId="0DB56E14" w14:textId="75D049FA" w:rsidR="00006E2F" w:rsidRPr="002D6CCE" w:rsidRDefault="00006E2F" w:rsidP="00324F84">
            <w:pPr>
              <w:pStyle w:val="BodyText"/>
              <w:spacing w:before="120" w:after="0"/>
              <w:rPr>
                <w:rFonts w:eastAsia="Times New Roman"/>
                <w:sz w:val="20"/>
                <w:szCs w:val="20"/>
              </w:rPr>
            </w:pPr>
            <w:r w:rsidRPr="002D6CCE">
              <w:rPr>
                <w:rFonts w:eastAsia="Times New Roman"/>
                <w:sz w:val="20"/>
                <w:szCs w:val="20"/>
              </w:rPr>
              <w:t>20</w:t>
            </w:r>
            <w:r>
              <w:rPr>
                <w:rFonts w:eastAsia="Times New Roman"/>
                <w:sz w:val="20"/>
                <w:szCs w:val="20"/>
              </w:rPr>
              <w:t>2</w:t>
            </w:r>
            <w:r w:rsidR="00C3736F">
              <w:rPr>
                <w:rFonts w:eastAsia="Times New Roman"/>
                <w:sz w:val="20"/>
                <w:szCs w:val="20"/>
              </w:rPr>
              <w:t>1</w:t>
            </w:r>
            <w:r w:rsidRPr="002D6CCE">
              <w:rPr>
                <w:rFonts w:eastAsia="Times New Roman"/>
                <w:sz w:val="20"/>
                <w:szCs w:val="20"/>
              </w:rPr>
              <w:t>/0</w:t>
            </w:r>
            <w:r>
              <w:rPr>
                <w:rFonts w:eastAsia="Times New Roman"/>
                <w:sz w:val="20"/>
                <w:szCs w:val="20"/>
              </w:rPr>
              <w:t>5</w:t>
            </w:r>
          </w:p>
        </w:tc>
        <w:tc>
          <w:tcPr>
            <w:tcW w:w="1701" w:type="dxa"/>
            <w:vMerge w:val="restart"/>
          </w:tcPr>
          <w:p w14:paraId="1074D63A" w14:textId="77777777" w:rsidR="00006E2F" w:rsidRPr="00904DB1" w:rsidRDefault="00006E2F" w:rsidP="00324F84">
            <w:pPr>
              <w:pStyle w:val="BodyText"/>
              <w:spacing w:before="120" w:after="0"/>
              <w:rPr>
                <w:rFonts w:eastAsia="Times New Roman"/>
                <w:b/>
                <w:sz w:val="20"/>
                <w:szCs w:val="20"/>
              </w:rPr>
            </w:pPr>
            <w:r w:rsidRPr="00904DB1">
              <w:rPr>
                <w:rFonts w:eastAsia="Times New Roman"/>
                <w:b/>
                <w:sz w:val="20"/>
                <w:szCs w:val="20"/>
              </w:rPr>
              <w:t xml:space="preserve">SAR </w:t>
            </w:r>
            <w:r>
              <w:rPr>
                <w:rFonts w:eastAsia="Times New Roman"/>
                <w:b/>
                <w:sz w:val="20"/>
                <w:szCs w:val="20"/>
              </w:rPr>
              <w:t>Information</w:t>
            </w:r>
          </w:p>
          <w:p w14:paraId="6D4B325A" w14:textId="77777777" w:rsidR="00006E2F" w:rsidRDefault="00006E2F" w:rsidP="00324F84">
            <w:pPr>
              <w:pStyle w:val="BodyText"/>
              <w:spacing w:before="120" w:after="0"/>
              <w:rPr>
                <w:rFonts w:eastAsia="Times New Roman"/>
                <w:sz w:val="20"/>
                <w:szCs w:val="20"/>
              </w:rPr>
            </w:pPr>
          </w:p>
          <w:p w14:paraId="044CBB07" w14:textId="426D88F4" w:rsidR="00006E2F" w:rsidRPr="002D6CCE" w:rsidRDefault="00006E2F" w:rsidP="00324F84">
            <w:pPr>
              <w:pStyle w:val="BodyText"/>
              <w:spacing w:before="120" w:after="0"/>
              <w:rPr>
                <w:rFonts w:eastAsia="Times New Roman"/>
                <w:sz w:val="20"/>
                <w:szCs w:val="20"/>
              </w:rPr>
            </w:pPr>
            <w:r>
              <w:rPr>
                <w:rFonts w:eastAsia="Times New Roman"/>
                <w:sz w:val="20"/>
                <w:szCs w:val="20"/>
              </w:rPr>
              <w:t>The collection and analysis of s</w:t>
            </w:r>
            <w:r w:rsidRPr="002D6CCE">
              <w:rPr>
                <w:rFonts w:eastAsia="Times New Roman"/>
                <w:sz w:val="20"/>
                <w:szCs w:val="20"/>
              </w:rPr>
              <w:t xml:space="preserve">earch and rescue </w:t>
            </w:r>
            <w:r>
              <w:rPr>
                <w:rFonts w:eastAsia="Times New Roman"/>
                <w:sz w:val="20"/>
                <w:szCs w:val="20"/>
              </w:rPr>
              <w:t>information</w:t>
            </w:r>
            <w:r w:rsidRPr="002D6CCE">
              <w:rPr>
                <w:rFonts w:eastAsia="Times New Roman"/>
                <w:sz w:val="20"/>
                <w:szCs w:val="20"/>
              </w:rPr>
              <w:t xml:space="preserve"> is inadequate or </w:t>
            </w:r>
            <w:r>
              <w:rPr>
                <w:rFonts w:eastAsia="Times New Roman"/>
                <w:sz w:val="20"/>
                <w:szCs w:val="20"/>
              </w:rPr>
              <w:t xml:space="preserve">insufficiently </w:t>
            </w:r>
            <w:r w:rsidRPr="002D6CCE">
              <w:rPr>
                <w:rFonts w:eastAsia="Times New Roman"/>
                <w:sz w:val="20"/>
                <w:szCs w:val="20"/>
              </w:rPr>
              <w:t>reliable for future planning</w:t>
            </w:r>
            <w:r>
              <w:rPr>
                <w:rFonts w:eastAsia="Times New Roman"/>
                <w:sz w:val="20"/>
                <w:szCs w:val="20"/>
              </w:rPr>
              <w:t>.</w:t>
            </w:r>
          </w:p>
        </w:tc>
        <w:tc>
          <w:tcPr>
            <w:tcW w:w="4240" w:type="dxa"/>
            <w:vMerge w:val="restart"/>
          </w:tcPr>
          <w:p w14:paraId="04D14FCE" w14:textId="43128079" w:rsidR="00006E2F" w:rsidRDefault="00006E2F" w:rsidP="00324F84">
            <w:pPr>
              <w:pStyle w:val="BodyText"/>
              <w:spacing w:before="120" w:after="0"/>
              <w:rPr>
                <w:rFonts w:eastAsia="Times New Roman"/>
                <w:sz w:val="20"/>
                <w:szCs w:val="20"/>
              </w:rPr>
            </w:pPr>
            <w:r w:rsidRPr="0019480D">
              <w:rPr>
                <w:rFonts w:eastAsia="Times New Roman"/>
                <w:sz w:val="20"/>
                <w:szCs w:val="20"/>
              </w:rPr>
              <w:t xml:space="preserve">SAR data collection </w:t>
            </w:r>
            <w:r>
              <w:rPr>
                <w:rFonts w:eastAsia="Times New Roman"/>
                <w:sz w:val="20"/>
                <w:szCs w:val="20"/>
              </w:rPr>
              <w:t xml:space="preserve">has historically </w:t>
            </w:r>
            <w:r w:rsidR="006366CE">
              <w:rPr>
                <w:rFonts w:eastAsia="Times New Roman"/>
                <w:sz w:val="20"/>
                <w:szCs w:val="20"/>
              </w:rPr>
              <w:t xml:space="preserve">been </w:t>
            </w:r>
            <w:r w:rsidR="006366CE" w:rsidRPr="0019480D">
              <w:rPr>
                <w:rFonts w:eastAsia="Times New Roman"/>
                <w:sz w:val="20"/>
                <w:szCs w:val="20"/>
              </w:rPr>
              <w:t>fragmented</w:t>
            </w:r>
            <w:r>
              <w:rPr>
                <w:rFonts w:eastAsia="Times New Roman"/>
                <w:sz w:val="20"/>
                <w:szCs w:val="20"/>
              </w:rPr>
              <w:t xml:space="preserve">, lacks </w:t>
            </w:r>
            <w:proofErr w:type="gramStart"/>
            <w:r>
              <w:rPr>
                <w:rFonts w:eastAsia="Times New Roman"/>
                <w:sz w:val="20"/>
                <w:szCs w:val="20"/>
              </w:rPr>
              <w:t>cohesion</w:t>
            </w:r>
            <w:proofErr w:type="gramEnd"/>
            <w:r w:rsidRPr="0019480D">
              <w:rPr>
                <w:rFonts w:eastAsia="Times New Roman"/>
                <w:sz w:val="20"/>
                <w:szCs w:val="20"/>
              </w:rPr>
              <w:t xml:space="preserve"> </w:t>
            </w:r>
            <w:r>
              <w:rPr>
                <w:rFonts w:eastAsia="Times New Roman"/>
                <w:sz w:val="20"/>
                <w:szCs w:val="20"/>
              </w:rPr>
              <w:t>and</w:t>
            </w:r>
            <w:r w:rsidRPr="0019480D">
              <w:rPr>
                <w:rFonts w:eastAsia="Times New Roman"/>
                <w:sz w:val="20"/>
                <w:szCs w:val="20"/>
              </w:rPr>
              <w:t xml:space="preserve"> is typically collected to meet the requirements of individual organisations.</w:t>
            </w:r>
            <w:r>
              <w:rPr>
                <w:rFonts w:eastAsia="Times New Roman"/>
                <w:sz w:val="20"/>
                <w:szCs w:val="20"/>
              </w:rPr>
              <w:t xml:space="preserve"> Properly analysed longitudinal</w:t>
            </w:r>
            <w:r w:rsidRPr="0019480D">
              <w:rPr>
                <w:rFonts w:eastAsia="Times New Roman"/>
                <w:sz w:val="20"/>
                <w:szCs w:val="20"/>
              </w:rPr>
              <w:t xml:space="preserve"> </w:t>
            </w:r>
            <w:r>
              <w:rPr>
                <w:rFonts w:eastAsia="Times New Roman"/>
                <w:sz w:val="20"/>
                <w:szCs w:val="20"/>
              </w:rPr>
              <w:t>information has been difficult for decision makers to access</w:t>
            </w:r>
            <w:r w:rsidRPr="0019480D">
              <w:rPr>
                <w:rFonts w:eastAsia="Times New Roman"/>
                <w:sz w:val="20"/>
                <w:szCs w:val="20"/>
              </w:rPr>
              <w:t xml:space="preserve">.   </w:t>
            </w:r>
            <w:r>
              <w:rPr>
                <w:rFonts w:eastAsia="Times New Roman"/>
                <w:sz w:val="20"/>
                <w:szCs w:val="20"/>
              </w:rPr>
              <w:t>Data g</w:t>
            </w:r>
            <w:r w:rsidRPr="0019480D">
              <w:rPr>
                <w:rFonts w:eastAsia="Times New Roman"/>
                <w:sz w:val="20"/>
                <w:szCs w:val="20"/>
              </w:rPr>
              <w:t xml:space="preserve">aps and omissions </w:t>
            </w:r>
            <w:r>
              <w:rPr>
                <w:rFonts w:eastAsia="Times New Roman"/>
                <w:sz w:val="20"/>
                <w:szCs w:val="20"/>
              </w:rPr>
              <w:t>render</w:t>
            </w:r>
            <w:r w:rsidRPr="0019480D">
              <w:rPr>
                <w:rFonts w:eastAsia="Times New Roman"/>
                <w:sz w:val="20"/>
                <w:szCs w:val="20"/>
              </w:rPr>
              <w:t xml:space="preserve"> sound analysis difficult.  In some instances, excessive detail is being collected. </w:t>
            </w:r>
          </w:p>
          <w:p w14:paraId="6CEF4310" w14:textId="77777777" w:rsidR="00006E2F" w:rsidRPr="0019480D" w:rsidRDefault="00006E2F" w:rsidP="00324F84">
            <w:pPr>
              <w:pStyle w:val="BodyText"/>
              <w:spacing w:before="120" w:after="0"/>
              <w:rPr>
                <w:rFonts w:eastAsia="Times New Roman"/>
                <w:sz w:val="20"/>
                <w:szCs w:val="20"/>
              </w:rPr>
            </w:pPr>
            <w:r>
              <w:rPr>
                <w:rFonts w:eastAsia="Times New Roman"/>
                <w:sz w:val="20"/>
                <w:szCs w:val="20"/>
              </w:rPr>
              <w:t>Insufficient focus is placed on the analysis of existing data.</w:t>
            </w:r>
          </w:p>
          <w:p w14:paraId="21CE7B9A" w14:textId="77777777" w:rsidR="006366CE" w:rsidRDefault="00006E2F" w:rsidP="00324F84">
            <w:pPr>
              <w:pStyle w:val="BodyTextIndentBullet"/>
              <w:numPr>
                <w:ilvl w:val="0"/>
                <w:numId w:val="0"/>
              </w:numPr>
              <w:spacing w:before="120"/>
              <w:ind w:left="44"/>
              <w:rPr>
                <w:szCs w:val="20"/>
              </w:rPr>
            </w:pPr>
            <w:r w:rsidRPr="00F17C7C">
              <w:t xml:space="preserve">Drivers of SAR demand such as </w:t>
            </w:r>
            <w:r>
              <w:t>a</w:t>
            </w:r>
            <w:r w:rsidRPr="00F17C7C">
              <w:t xml:space="preserve">ctivity </w:t>
            </w:r>
            <w:r>
              <w:t>p</w:t>
            </w:r>
            <w:r w:rsidRPr="00F17C7C">
              <w:t>articipation</w:t>
            </w:r>
            <w:r>
              <w:t xml:space="preserve"> is not well understood.</w:t>
            </w:r>
            <w:r w:rsidR="006366CE">
              <w:rPr>
                <w:szCs w:val="20"/>
              </w:rPr>
              <w:t xml:space="preserve"> </w:t>
            </w:r>
          </w:p>
          <w:p w14:paraId="0EAFB325" w14:textId="5FA6EC92" w:rsidR="00006E2F" w:rsidRDefault="006366CE" w:rsidP="00324F84">
            <w:pPr>
              <w:pStyle w:val="BodyTextIndentBullet"/>
              <w:numPr>
                <w:ilvl w:val="0"/>
                <w:numId w:val="0"/>
              </w:numPr>
              <w:spacing w:before="120"/>
              <w:ind w:left="44"/>
              <w:rPr>
                <w:szCs w:val="20"/>
              </w:rPr>
            </w:pPr>
            <w:r>
              <w:rPr>
                <w:szCs w:val="20"/>
              </w:rPr>
              <w:t>SAR data / information is not easily accessible by other members of NZs SAR community or other interested parties</w:t>
            </w:r>
          </w:p>
        </w:tc>
        <w:tc>
          <w:tcPr>
            <w:tcW w:w="3546" w:type="dxa"/>
            <w:vMerge w:val="restart"/>
          </w:tcPr>
          <w:p w14:paraId="5E4D9FF7" w14:textId="77777777" w:rsidR="00006E2F" w:rsidRDefault="00006E2F" w:rsidP="00324F84">
            <w:pPr>
              <w:pStyle w:val="BodyText"/>
              <w:spacing w:before="120" w:after="0"/>
              <w:rPr>
                <w:rFonts w:eastAsia="Times New Roman"/>
                <w:sz w:val="20"/>
                <w:szCs w:val="20"/>
              </w:rPr>
            </w:pPr>
            <w:r w:rsidRPr="00286A2D">
              <w:rPr>
                <w:rFonts w:eastAsia="Times New Roman"/>
                <w:sz w:val="20"/>
                <w:szCs w:val="20"/>
              </w:rPr>
              <w:t xml:space="preserve">Without reliable </w:t>
            </w:r>
            <w:r>
              <w:rPr>
                <w:rFonts w:eastAsia="Times New Roman"/>
                <w:sz w:val="20"/>
                <w:szCs w:val="20"/>
              </w:rPr>
              <w:t>information</w:t>
            </w:r>
            <w:r w:rsidRPr="00286A2D">
              <w:rPr>
                <w:rFonts w:eastAsia="Times New Roman"/>
                <w:sz w:val="20"/>
                <w:szCs w:val="20"/>
              </w:rPr>
              <w:t xml:space="preserve">, NZSAR will be unable to identify strategic changes and opportunities for the SAR community. </w:t>
            </w:r>
          </w:p>
          <w:p w14:paraId="62FEB014" w14:textId="77777777" w:rsidR="00006E2F" w:rsidRPr="00286A2D" w:rsidRDefault="00006E2F" w:rsidP="00324F84">
            <w:pPr>
              <w:pStyle w:val="BodyText"/>
              <w:spacing w:before="120" w:after="0"/>
              <w:rPr>
                <w:rFonts w:eastAsia="Times New Roman"/>
                <w:sz w:val="20"/>
                <w:szCs w:val="20"/>
              </w:rPr>
            </w:pPr>
            <w:r>
              <w:rPr>
                <w:rFonts w:eastAsia="Times New Roman"/>
                <w:sz w:val="20"/>
                <w:szCs w:val="20"/>
              </w:rPr>
              <w:t>Effective decision making is compromised by the lack of reliable, analysed data.  Information</w:t>
            </w:r>
            <w:r w:rsidRPr="00286A2D">
              <w:rPr>
                <w:rFonts w:eastAsia="Times New Roman"/>
                <w:sz w:val="20"/>
                <w:szCs w:val="20"/>
              </w:rPr>
              <w:t xml:space="preserve"> </w:t>
            </w:r>
            <w:r>
              <w:rPr>
                <w:rFonts w:eastAsia="Times New Roman"/>
                <w:sz w:val="20"/>
                <w:szCs w:val="20"/>
              </w:rPr>
              <w:t xml:space="preserve">can also be hard to access as it can reside within silos. </w:t>
            </w:r>
          </w:p>
          <w:p w14:paraId="4EBC8ABA" w14:textId="77777777" w:rsidR="00006E2F" w:rsidRDefault="00006E2F" w:rsidP="00324F84">
            <w:pPr>
              <w:pStyle w:val="BodyText"/>
              <w:spacing w:before="120" w:after="0"/>
              <w:rPr>
                <w:rFonts w:eastAsia="Times New Roman"/>
                <w:sz w:val="20"/>
                <w:szCs w:val="20"/>
              </w:rPr>
            </w:pPr>
            <w:r>
              <w:rPr>
                <w:rFonts w:eastAsia="Times New Roman"/>
                <w:sz w:val="20"/>
                <w:szCs w:val="20"/>
              </w:rPr>
              <w:t>The sector is significantly limited in its ability to respond or adjust with sufficient speed to identified trends or risks.</w:t>
            </w:r>
          </w:p>
          <w:p w14:paraId="7D25C9E0" w14:textId="3B2D772E" w:rsidR="006366CE" w:rsidRDefault="006366CE" w:rsidP="00324F84">
            <w:pPr>
              <w:pStyle w:val="BodyText"/>
              <w:spacing w:before="120" w:after="0"/>
              <w:rPr>
                <w:rFonts w:eastAsia="Times New Roman"/>
                <w:sz w:val="20"/>
                <w:szCs w:val="20"/>
              </w:rPr>
            </w:pPr>
            <w:r>
              <w:rPr>
                <w:rFonts w:eastAsia="Times New Roman"/>
                <w:sz w:val="20"/>
                <w:szCs w:val="20"/>
              </w:rPr>
              <w:t xml:space="preserve">Without open access to data, opportunities for collaboration across agencies and efficiency gains for NZs SAR sector may be lost </w:t>
            </w:r>
          </w:p>
          <w:p w14:paraId="05783D61" w14:textId="4962D492" w:rsidR="006366CE" w:rsidRDefault="006366CE" w:rsidP="00324F84">
            <w:pPr>
              <w:pStyle w:val="BodyText"/>
              <w:spacing w:before="120" w:after="0"/>
              <w:rPr>
                <w:rFonts w:eastAsia="Times New Roman"/>
                <w:sz w:val="20"/>
                <w:szCs w:val="20"/>
              </w:rPr>
            </w:pPr>
          </w:p>
        </w:tc>
        <w:tc>
          <w:tcPr>
            <w:tcW w:w="428" w:type="dxa"/>
            <w:vMerge w:val="restart"/>
            <w:textDirection w:val="btLr"/>
            <w:vAlign w:val="center"/>
          </w:tcPr>
          <w:p w14:paraId="70D768C9" w14:textId="5E2A08DF" w:rsidR="00006E2F" w:rsidRPr="00286A2D" w:rsidRDefault="00006E2F" w:rsidP="00324F84">
            <w:pPr>
              <w:pStyle w:val="Heading2"/>
              <w:spacing w:before="120" w:line="360" w:lineRule="auto"/>
              <w:ind w:left="113" w:right="113"/>
              <w:jc w:val="center"/>
              <w:outlineLvl w:val="1"/>
              <w:rPr>
                <w:b w:val="0"/>
                <w:color w:val="auto"/>
                <w:sz w:val="20"/>
              </w:rPr>
            </w:pPr>
            <w:r>
              <w:rPr>
                <w:b w:val="0"/>
                <w:color w:val="auto"/>
                <w:sz w:val="20"/>
              </w:rPr>
              <w:t>Possible</w:t>
            </w:r>
          </w:p>
        </w:tc>
        <w:tc>
          <w:tcPr>
            <w:tcW w:w="429" w:type="dxa"/>
            <w:vMerge w:val="restart"/>
            <w:textDirection w:val="btLr"/>
            <w:vAlign w:val="center"/>
          </w:tcPr>
          <w:p w14:paraId="12DBC9DA" w14:textId="0DA3486E" w:rsidR="00006E2F" w:rsidRPr="00286A2D" w:rsidRDefault="00006E2F" w:rsidP="00324F84">
            <w:pPr>
              <w:pStyle w:val="Heading2"/>
              <w:spacing w:before="120" w:line="360" w:lineRule="auto"/>
              <w:ind w:left="113" w:right="113"/>
              <w:jc w:val="center"/>
              <w:outlineLvl w:val="1"/>
              <w:rPr>
                <w:b w:val="0"/>
                <w:color w:val="auto"/>
                <w:sz w:val="20"/>
              </w:rPr>
            </w:pPr>
            <w:r>
              <w:rPr>
                <w:b w:val="0"/>
                <w:color w:val="auto"/>
                <w:sz w:val="20"/>
              </w:rPr>
              <w:t>Moderate</w:t>
            </w:r>
          </w:p>
        </w:tc>
        <w:tc>
          <w:tcPr>
            <w:tcW w:w="856" w:type="dxa"/>
            <w:shd w:val="clear" w:color="auto" w:fill="FFFF00"/>
            <w:textDirection w:val="btLr"/>
            <w:vAlign w:val="center"/>
          </w:tcPr>
          <w:p w14:paraId="14DB7A27" w14:textId="098911AC" w:rsidR="00006E2F" w:rsidRPr="00006E2F" w:rsidRDefault="00006E2F" w:rsidP="00324F84">
            <w:pPr>
              <w:jc w:val="center"/>
              <w:rPr>
                <w:sz w:val="20"/>
                <w:szCs w:val="20"/>
              </w:rPr>
            </w:pPr>
            <w:r w:rsidRPr="00006E2F">
              <w:rPr>
                <w:sz w:val="20"/>
              </w:rPr>
              <w:t>(</w:t>
            </w:r>
            <w:r w:rsidR="00C3736F">
              <w:rPr>
                <w:sz w:val="20"/>
              </w:rPr>
              <w:t>Dec 20</w:t>
            </w:r>
            <w:r w:rsidRPr="00006E2F">
              <w:rPr>
                <w:sz w:val="20"/>
              </w:rPr>
              <w:t>)</w:t>
            </w:r>
          </w:p>
        </w:tc>
        <w:tc>
          <w:tcPr>
            <w:tcW w:w="5384" w:type="dxa"/>
          </w:tcPr>
          <w:p w14:paraId="74932B37" w14:textId="383EBB22" w:rsidR="00006E2F" w:rsidRPr="00C3736F" w:rsidRDefault="00006E2F" w:rsidP="00324F84">
            <w:pPr>
              <w:pStyle w:val="BodyText"/>
              <w:spacing w:before="120" w:after="0"/>
              <w:rPr>
                <w:rFonts w:eastAsia="Times New Roman"/>
                <w:b/>
                <w:sz w:val="20"/>
                <w:szCs w:val="20"/>
              </w:rPr>
            </w:pPr>
            <w:r w:rsidRPr="00C3736F">
              <w:rPr>
                <w:rFonts w:eastAsia="Times New Roman"/>
                <w:b/>
                <w:sz w:val="20"/>
                <w:szCs w:val="20"/>
              </w:rPr>
              <w:t>Risk treatment 202</w:t>
            </w:r>
            <w:r w:rsidR="00C3736F">
              <w:rPr>
                <w:rFonts w:eastAsia="Times New Roman"/>
                <w:b/>
                <w:sz w:val="20"/>
                <w:szCs w:val="20"/>
              </w:rPr>
              <w:t>1</w:t>
            </w:r>
            <w:r w:rsidRPr="00C3736F">
              <w:rPr>
                <w:rFonts w:eastAsia="Times New Roman"/>
                <w:b/>
                <w:sz w:val="20"/>
                <w:szCs w:val="20"/>
              </w:rPr>
              <w:t>/05/A: SAR Data Standard</w:t>
            </w:r>
          </w:p>
          <w:p w14:paraId="42E9E85C" w14:textId="3AE94788" w:rsidR="00006E2F" w:rsidRPr="00C3736F" w:rsidRDefault="00006E2F" w:rsidP="00324F84">
            <w:pPr>
              <w:pStyle w:val="BodyText"/>
              <w:spacing w:before="120" w:after="0"/>
              <w:rPr>
                <w:rFonts w:eastAsia="Times New Roman"/>
                <w:b/>
                <w:sz w:val="20"/>
                <w:szCs w:val="20"/>
              </w:rPr>
            </w:pPr>
            <w:r w:rsidRPr="00C3736F">
              <w:rPr>
                <w:rFonts w:eastAsia="Times New Roman"/>
                <w:sz w:val="20"/>
                <w:szCs w:val="20"/>
              </w:rPr>
              <w:t xml:space="preserve">Maintain and promote the use of a collectively agreed SAR data standards for collection, </w:t>
            </w:r>
            <w:proofErr w:type="gramStart"/>
            <w:r w:rsidRPr="00C3736F">
              <w:rPr>
                <w:rFonts w:eastAsia="Times New Roman"/>
                <w:sz w:val="20"/>
                <w:szCs w:val="20"/>
              </w:rPr>
              <w:t>collation</w:t>
            </w:r>
            <w:proofErr w:type="gramEnd"/>
            <w:r w:rsidRPr="00C3736F">
              <w:rPr>
                <w:rFonts w:eastAsia="Times New Roman"/>
                <w:sz w:val="20"/>
                <w:szCs w:val="20"/>
              </w:rPr>
              <w:t xml:space="preserve"> and analysis of SAR data. </w:t>
            </w:r>
          </w:p>
        </w:tc>
        <w:tc>
          <w:tcPr>
            <w:tcW w:w="714" w:type="dxa"/>
            <w:shd w:val="clear" w:color="auto" w:fill="00B050"/>
            <w:textDirection w:val="btLr"/>
            <w:vAlign w:val="center"/>
          </w:tcPr>
          <w:p w14:paraId="2283E21F" w14:textId="45EACF1E" w:rsidR="00006E2F" w:rsidRDefault="00006E2F" w:rsidP="00DD3830">
            <w:pPr>
              <w:jc w:val="center"/>
              <w:rPr>
                <w:rFonts w:eastAsia="Times New Roman"/>
                <w:sz w:val="20"/>
                <w:szCs w:val="20"/>
              </w:rPr>
            </w:pPr>
            <w:r>
              <w:rPr>
                <w:rFonts w:eastAsia="Times New Roman"/>
                <w:sz w:val="20"/>
                <w:szCs w:val="20"/>
              </w:rPr>
              <w:t>Full</w:t>
            </w:r>
          </w:p>
        </w:tc>
        <w:tc>
          <w:tcPr>
            <w:tcW w:w="854" w:type="dxa"/>
            <w:shd w:val="clear" w:color="auto" w:fill="00B050"/>
            <w:textDirection w:val="btLr"/>
            <w:vAlign w:val="center"/>
          </w:tcPr>
          <w:p w14:paraId="38868ACA" w14:textId="111217B4" w:rsidR="00006E2F" w:rsidRDefault="004D4376" w:rsidP="00324F84">
            <w:pPr>
              <w:ind w:left="113" w:right="113"/>
              <w:jc w:val="center"/>
              <w:rPr>
                <w:sz w:val="20"/>
                <w:szCs w:val="20"/>
              </w:rPr>
            </w:pPr>
            <w:r>
              <w:rPr>
                <w:sz w:val="20"/>
                <w:szCs w:val="20"/>
              </w:rPr>
              <w:t>Ongoing</w:t>
            </w:r>
          </w:p>
        </w:tc>
        <w:tc>
          <w:tcPr>
            <w:tcW w:w="3260" w:type="dxa"/>
            <w:tcBorders>
              <w:bottom w:val="single" w:sz="2" w:space="0" w:color="auto"/>
            </w:tcBorders>
            <w:vAlign w:val="center"/>
          </w:tcPr>
          <w:p w14:paraId="1C8744D2" w14:textId="2F0978BB" w:rsidR="00006E2F" w:rsidRPr="00C3736F" w:rsidRDefault="00006E2F" w:rsidP="00324F84">
            <w:pPr>
              <w:pStyle w:val="BodyText"/>
              <w:rPr>
                <w:rFonts w:eastAsia="Times New Roman"/>
                <w:sz w:val="20"/>
                <w:szCs w:val="20"/>
              </w:rPr>
            </w:pPr>
            <w:r w:rsidRPr="00C3736F">
              <w:rPr>
                <w:rFonts w:eastAsia="Times New Roman"/>
                <w:sz w:val="20"/>
                <w:szCs w:val="20"/>
              </w:rPr>
              <w:t xml:space="preserve">Core data standard is complete and in operation with SARdonyx.  Additional standards </w:t>
            </w:r>
            <w:r w:rsidR="006C60B2" w:rsidRPr="00C3736F">
              <w:rPr>
                <w:rFonts w:eastAsia="Times New Roman"/>
                <w:sz w:val="20"/>
                <w:szCs w:val="20"/>
              </w:rPr>
              <w:t xml:space="preserve">may be </w:t>
            </w:r>
            <w:r w:rsidRPr="00C3736F">
              <w:rPr>
                <w:rFonts w:eastAsia="Times New Roman"/>
                <w:sz w:val="20"/>
                <w:szCs w:val="20"/>
              </w:rPr>
              <w:t xml:space="preserve">required for specialised subjects. </w:t>
            </w:r>
          </w:p>
        </w:tc>
      </w:tr>
      <w:tr w:rsidR="00006E2F" w:rsidRPr="00286A2D" w14:paraId="3F25428D" w14:textId="77777777" w:rsidTr="00DD3830">
        <w:trPr>
          <w:cantSplit/>
          <w:trHeight w:val="1000"/>
        </w:trPr>
        <w:tc>
          <w:tcPr>
            <w:tcW w:w="985" w:type="dxa"/>
            <w:vMerge/>
          </w:tcPr>
          <w:p w14:paraId="280DF438" w14:textId="77777777" w:rsidR="00006E2F" w:rsidRPr="002D6CCE" w:rsidRDefault="00006E2F" w:rsidP="00324F84">
            <w:pPr>
              <w:pStyle w:val="BodyText"/>
              <w:spacing w:before="120" w:after="0"/>
              <w:rPr>
                <w:rFonts w:eastAsia="Times New Roman"/>
                <w:sz w:val="20"/>
                <w:szCs w:val="20"/>
              </w:rPr>
            </w:pPr>
          </w:p>
        </w:tc>
        <w:tc>
          <w:tcPr>
            <w:tcW w:w="1701" w:type="dxa"/>
            <w:vMerge/>
          </w:tcPr>
          <w:p w14:paraId="3A5EE328" w14:textId="77777777" w:rsidR="00006E2F" w:rsidRPr="00904DB1" w:rsidRDefault="00006E2F" w:rsidP="00324F84">
            <w:pPr>
              <w:pStyle w:val="BodyText"/>
              <w:spacing w:before="120" w:after="0"/>
              <w:rPr>
                <w:rFonts w:eastAsia="Times New Roman"/>
                <w:b/>
                <w:sz w:val="20"/>
                <w:szCs w:val="20"/>
              </w:rPr>
            </w:pPr>
          </w:p>
        </w:tc>
        <w:tc>
          <w:tcPr>
            <w:tcW w:w="4240" w:type="dxa"/>
            <w:vMerge/>
          </w:tcPr>
          <w:p w14:paraId="653D5510" w14:textId="77777777" w:rsidR="00006E2F" w:rsidRPr="0019480D" w:rsidRDefault="00006E2F" w:rsidP="00324F84">
            <w:pPr>
              <w:pStyle w:val="BodyText"/>
              <w:spacing w:before="120" w:after="0"/>
              <w:rPr>
                <w:rFonts w:eastAsia="Times New Roman"/>
                <w:sz w:val="20"/>
                <w:szCs w:val="20"/>
              </w:rPr>
            </w:pPr>
          </w:p>
        </w:tc>
        <w:tc>
          <w:tcPr>
            <w:tcW w:w="3546" w:type="dxa"/>
            <w:vMerge/>
          </w:tcPr>
          <w:p w14:paraId="7CF5375A" w14:textId="77777777" w:rsidR="00006E2F" w:rsidRPr="00286A2D" w:rsidRDefault="00006E2F" w:rsidP="00324F84">
            <w:pPr>
              <w:pStyle w:val="BodyText"/>
              <w:spacing w:before="120" w:after="0"/>
              <w:rPr>
                <w:rFonts w:eastAsia="Times New Roman"/>
                <w:sz w:val="20"/>
                <w:szCs w:val="20"/>
              </w:rPr>
            </w:pPr>
          </w:p>
        </w:tc>
        <w:tc>
          <w:tcPr>
            <w:tcW w:w="428" w:type="dxa"/>
            <w:vMerge/>
            <w:textDirection w:val="btLr"/>
            <w:vAlign w:val="center"/>
          </w:tcPr>
          <w:p w14:paraId="66597127" w14:textId="77777777" w:rsidR="00006E2F" w:rsidRDefault="00006E2F" w:rsidP="00324F84">
            <w:pPr>
              <w:pStyle w:val="Heading2"/>
              <w:spacing w:before="120" w:line="360" w:lineRule="auto"/>
              <w:ind w:left="113" w:right="113"/>
              <w:jc w:val="center"/>
              <w:outlineLvl w:val="1"/>
              <w:rPr>
                <w:b w:val="0"/>
                <w:color w:val="auto"/>
                <w:sz w:val="20"/>
              </w:rPr>
            </w:pPr>
          </w:p>
        </w:tc>
        <w:tc>
          <w:tcPr>
            <w:tcW w:w="429" w:type="dxa"/>
            <w:vMerge/>
            <w:textDirection w:val="btLr"/>
            <w:vAlign w:val="center"/>
          </w:tcPr>
          <w:p w14:paraId="1056CFF2" w14:textId="77777777" w:rsidR="00006E2F" w:rsidRDefault="00006E2F" w:rsidP="00324F84">
            <w:pPr>
              <w:pStyle w:val="Heading2"/>
              <w:spacing w:before="120" w:line="360" w:lineRule="auto"/>
              <w:ind w:left="113" w:right="113"/>
              <w:jc w:val="center"/>
              <w:outlineLvl w:val="1"/>
              <w:rPr>
                <w:b w:val="0"/>
                <w:color w:val="auto"/>
                <w:sz w:val="20"/>
              </w:rPr>
            </w:pPr>
          </w:p>
        </w:tc>
        <w:tc>
          <w:tcPr>
            <w:tcW w:w="856" w:type="dxa"/>
            <w:shd w:val="clear" w:color="auto" w:fill="FFFF00"/>
            <w:textDirection w:val="btLr"/>
            <w:vAlign w:val="center"/>
          </w:tcPr>
          <w:p w14:paraId="6D74242B" w14:textId="3705A25B" w:rsidR="00006E2F" w:rsidRPr="00006E2F" w:rsidRDefault="00006E2F" w:rsidP="00324F84">
            <w:pPr>
              <w:jc w:val="center"/>
              <w:rPr>
                <w:sz w:val="20"/>
                <w:szCs w:val="20"/>
              </w:rPr>
            </w:pPr>
            <w:r w:rsidRPr="00006E2F">
              <w:rPr>
                <w:sz w:val="20"/>
              </w:rPr>
              <w:t>(</w:t>
            </w:r>
            <w:r w:rsidR="00C3736F">
              <w:rPr>
                <w:sz w:val="20"/>
              </w:rPr>
              <w:t>Dec 20</w:t>
            </w:r>
            <w:r w:rsidRPr="00006E2F">
              <w:rPr>
                <w:sz w:val="20"/>
              </w:rPr>
              <w:t>)</w:t>
            </w:r>
          </w:p>
        </w:tc>
        <w:tc>
          <w:tcPr>
            <w:tcW w:w="5384" w:type="dxa"/>
          </w:tcPr>
          <w:p w14:paraId="75C2CD41" w14:textId="180E8F66" w:rsidR="00006E2F" w:rsidRPr="00C3736F" w:rsidRDefault="00006E2F" w:rsidP="00324F84">
            <w:pPr>
              <w:pStyle w:val="BodyText"/>
              <w:spacing w:before="120" w:after="0"/>
              <w:rPr>
                <w:rFonts w:eastAsia="Times New Roman"/>
                <w:b/>
                <w:sz w:val="20"/>
                <w:szCs w:val="20"/>
              </w:rPr>
            </w:pPr>
            <w:r w:rsidRPr="00C3736F">
              <w:rPr>
                <w:rFonts w:eastAsia="Times New Roman"/>
                <w:b/>
                <w:sz w:val="20"/>
                <w:szCs w:val="20"/>
              </w:rPr>
              <w:t>Risk treatment 202</w:t>
            </w:r>
            <w:r w:rsidR="00C3736F">
              <w:rPr>
                <w:rFonts w:eastAsia="Times New Roman"/>
                <w:b/>
                <w:sz w:val="20"/>
                <w:szCs w:val="20"/>
              </w:rPr>
              <w:t>1</w:t>
            </w:r>
            <w:r w:rsidRPr="00C3736F">
              <w:rPr>
                <w:rFonts w:eastAsia="Times New Roman"/>
                <w:b/>
                <w:sz w:val="20"/>
                <w:szCs w:val="20"/>
              </w:rPr>
              <w:t xml:space="preserve">/05/B: Data exchange and storage </w:t>
            </w:r>
          </w:p>
          <w:p w14:paraId="1B9C7ABD" w14:textId="736C7B3B" w:rsidR="00006E2F" w:rsidRPr="00C3736F" w:rsidRDefault="00006E2F" w:rsidP="00324F84">
            <w:pPr>
              <w:pStyle w:val="BodyText"/>
              <w:spacing w:before="120" w:after="0"/>
              <w:rPr>
                <w:rFonts w:eastAsia="Times New Roman"/>
                <w:b/>
                <w:sz w:val="20"/>
                <w:szCs w:val="20"/>
              </w:rPr>
            </w:pPr>
            <w:r w:rsidRPr="00C3736F">
              <w:rPr>
                <w:rFonts w:eastAsia="Times New Roman"/>
                <w:sz w:val="20"/>
                <w:szCs w:val="20"/>
              </w:rPr>
              <w:t xml:space="preserve">Maintain a secure, single repository for all </w:t>
            </w:r>
            <w:r w:rsidR="006C60B2" w:rsidRPr="00C3736F">
              <w:rPr>
                <w:rFonts w:eastAsia="Times New Roman"/>
                <w:sz w:val="20"/>
                <w:szCs w:val="20"/>
              </w:rPr>
              <w:t xml:space="preserve">operational </w:t>
            </w:r>
            <w:r w:rsidRPr="00C3736F">
              <w:rPr>
                <w:rFonts w:eastAsia="Times New Roman"/>
                <w:sz w:val="20"/>
                <w:szCs w:val="20"/>
              </w:rPr>
              <w:t>SAR data and make it available for analysis.</w:t>
            </w:r>
          </w:p>
        </w:tc>
        <w:tc>
          <w:tcPr>
            <w:tcW w:w="714" w:type="dxa"/>
            <w:shd w:val="clear" w:color="auto" w:fill="00B050"/>
            <w:textDirection w:val="btLr"/>
            <w:vAlign w:val="center"/>
          </w:tcPr>
          <w:p w14:paraId="5D1D548A" w14:textId="0DE834BE" w:rsidR="00006E2F" w:rsidRDefault="00006E2F" w:rsidP="00324F84">
            <w:pPr>
              <w:jc w:val="center"/>
              <w:rPr>
                <w:rFonts w:eastAsia="Times New Roman"/>
                <w:sz w:val="20"/>
                <w:szCs w:val="20"/>
              </w:rPr>
            </w:pPr>
            <w:r>
              <w:rPr>
                <w:rFonts w:eastAsia="Times New Roman"/>
                <w:sz w:val="20"/>
                <w:szCs w:val="20"/>
              </w:rPr>
              <w:t>Full</w:t>
            </w:r>
          </w:p>
        </w:tc>
        <w:tc>
          <w:tcPr>
            <w:tcW w:w="854" w:type="dxa"/>
            <w:shd w:val="clear" w:color="auto" w:fill="FFFF00"/>
            <w:textDirection w:val="btLr"/>
            <w:vAlign w:val="center"/>
          </w:tcPr>
          <w:p w14:paraId="49410E98" w14:textId="346FB788" w:rsidR="00006E2F" w:rsidRDefault="00006E2F" w:rsidP="00C51A66">
            <w:pPr>
              <w:jc w:val="center"/>
              <w:rPr>
                <w:sz w:val="20"/>
                <w:szCs w:val="20"/>
              </w:rPr>
            </w:pPr>
            <w:r>
              <w:rPr>
                <w:sz w:val="20"/>
                <w:szCs w:val="20"/>
              </w:rPr>
              <w:t>2021</w:t>
            </w:r>
            <w:r w:rsidRPr="000D0B38">
              <w:rPr>
                <w:sz w:val="20"/>
                <w:szCs w:val="20"/>
              </w:rPr>
              <w:t xml:space="preserve"> </w:t>
            </w:r>
          </w:p>
        </w:tc>
        <w:tc>
          <w:tcPr>
            <w:tcW w:w="3260" w:type="dxa"/>
            <w:tcBorders>
              <w:top w:val="single" w:sz="2" w:space="0" w:color="auto"/>
              <w:bottom w:val="single" w:sz="2" w:space="0" w:color="auto"/>
            </w:tcBorders>
            <w:vAlign w:val="center"/>
          </w:tcPr>
          <w:p w14:paraId="5FD9BC9A" w14:textId="593F6566" w:rsidR="00006E2F" w:rsidRPr="00C3736F" w:rsidRDefault="00006E2F" w:rsidP="00324F84">
            <w:pPr>
              <w:pStyle w:val="BodyText"/>
              <w:rPr>
                <w:rFonts w:eastAsia="Times New Roman"/>
                <w:sz w:val="20"/>
                <w:szCs w:val="20"/>
              </w:rPr>
            </w:pPr>
            <w:r w:rsidRPr="00C3736F">
              <w:rPr>
                <w:rFonts w:eastAsia="Times New Roman"/>
                <w:sz w:val="20"/>
                <w:szCs w:val="20"/>
              </w:rPr>
              <w:t>SARdonyx implemented.  Further work required to incorporate SLSNZ, CNZ and other SAR data.</w:t>
            </w:r>
          </w:p>
        </w:tc>
      </w:tr>
      <w:tr w:rsidR="00006E2F" w:rsidRPr="00286A2D" w14:paraId="565796FF" w14:textId="77777777" w:rsidTr="00DD3830">
        <w:trPr>
          <w:cantSplit/>
          <w:trHeight w:val="920"/>
        </w:trPr>
        <w:tc>
          <w:tcPr>
            <w:tcW w:w="985" w:type="dxa"/>
            <w:vMerge/>
          </w:tcPr>
          <w:p w14:paraId="67914D80" w14:textId="77777777" w:rsidR="00006E2F" w:rsidRPr="002D6CCE" w:rsidRDefault="00006E2F" w:rsidP="00324F84">
            <w:pPr>
              <w:pStyle w:val="BodyText"/>
              <w:spacing w:before="120" w:after="0"/>
              <w:rPr>
                <w:rFonts w:eastAsia="Times New Roman"/>
                <w:sz w:val="20"/>
                <w:szCs w:val="20"/>
              </w:rPr>
            </w:pPr>
          </w:p>
        </w:tc>
        <w:tc>
          <w:tcPr>
            <w:tcW w:w="1701" w:type="dxa"/>
            <w:vMerge/>
          </w:tcPr>
          <w:p w14:paraId="4C571E43" w14:textId="77777777" w:rsidR="00006E2F" w:rsidRPr="00904DB1" w:rsidRDefault="00006E2F" w:rsidP="00324F84">
            <w:pPr>
              <w:pStyle w:val="BodyText"/>
              <w:spacing w:before="120" w:after="0"/>
              <w:rPr>
                <w:rFonts w:eastAsia="Times New Roman"/>
                <w:b/>
                <w:sz w:val="20"/>
                <w:szCs w:val="20"/>
              </w:rPr>
            </w:pPr>
          </w:p>
        </w:tc>
        <w:tc>
          <w:tcPr>
            <w:tcW w:w="4240" w:type="dxa"/>
            <w:vMerge/>
          </w:tcPr>
          <w:p w14:paraId="4530DD5C" w14:textId="77777777" w:rsidR="00006E2F" w:rsidRPr="0019480D" w:rsidRDefault="00006E2F" w:rsidP="00324F84">
            <w:pPr>
              <w:pStyle w:val="BodyText"/>
              <w:spacing w:before="120" w:after="0"/>
              <w:rPr>
                <w:rFonts w:eastAsia="Times New Roman"/>
                <w:sz w:val="20"/>
                <w:szCs w:val="20"/>
              </w:rPr>
            </w:pPr>
          </w:p>
        </w:tc>
        <w:tc>
          <w:tcPr>
            <w:tcW w:w="3546" w:type="dxa"/>
            <w:vMerge/>
          </w:tcPr>
          <w:p w14:paraId="7EA8F746" w14:textId="77777777" w:rsidR="00006E2F" w:rsidRPr="00286A2D" w:rsidRDefault="00006E2F" w:rsidP="00324F84">
            <w:pPr>
              <w:pStyle w:val="BodyText"/>
              <w:spacing w:before="120" w:after="0"/>
              <w:rPr>
                <w:rFonts w:eastAsia="Times New Roman"/>
                <w:sz w:val="20"/>
                <w:szCs w:val="20"/>
              </w:rPr>
            </w:pPr>
          </w:p>
        </w:tc>
        <w:tc>
          <w:tcPr>
            <w:tcW w:w="428" w:type="dxa"/>
            <w:vMerge/>
            <w:textDirection w:val="btLr"/>
            <w:vAlign w:val="center"/>
          </w:tcPr>
          <w:p w14:paraId="33232500" w14:textId="77777777" w:rsidR="00006E2F" w:rsidRDefault="00006E2F" w:rsidP="00324F84">
            <w:pPr>
              <w:pStyle w:val="Heading2"/>
              <w:spacing w:before="120" w:line="360" w:lineRule="auto"/>
              <w:ind w:left="113" w:right="113"/>
              <w:jc w:val="center"/>
              <w:outlineLvl w:val="1"/>
              <w:rPr>
                <w:b w:val="0"/>
                <w:color w:val="auto"/>
                <w:sz w:val="20"/>
              </w:rPr>
            </w:pPr>
          </w:p>
        </w:tc>
        <w:tc>
          <w:tcPr>
            <w:tcW w:w="429" w:type="dxa"/>
            <w:vMerge/>
            <w:textDirection w:val="btLr"/>
            <w:vAlign w:val="center"/>
          </w:tcPr>
          <w:p w14:paraId="664F527B" w14:textId="77777777" w:rsidR="00006E2F" w:rsidRDefault="00006E2F" w:rsidP="00324F84">
            <w:pPr>
              <w:pStyle w:val="Heading2"/>
              <w:spacing w:before="120" w:line="360" w:lineRule="auto"/>
              <w:ind w:left="113" w:right="113"/>
              <w:jc w:val="center"/>
              <w:outlineLvl w:val="1"/>
              <w:rPr>
                <w:b w:val="0"/>
                <w:color w:val="auto"/>
                <w:sz w:val="20"/>
              </w:rPr>
            </w:pPr>
          </w:p>
        </w:tc>
        <w:tc>
          <w:tcPr>
            <w:tcW w:w="856" w:type="dxa"/>
            <w:shd w:val="clear" w:color="auto" w:fill="FFFF00"/>
            <w:textDirection w:val="btLr"/>
            <w:vAlign w:val="center"/>
          </w:tcPr>
          <w:p w14:paraId="0C1C1E97" w14:textId="4E502617" w:rsidR="00006E2F" w:rsidRPr="00006E2F" w:rsidRDefault="00006E2F" w:rsidP="00324F84">
            <w:pPr>
              <w:jc w:val="center"/>
              <w:rPr>
                <w:sz w:val="20"/>
                <w:szCs w:val="20"/>
              </w:rPr>
            </w:pPr>
            <w:r w:rsidRPr="00006E2F">
              <w:rPr>
                <w:sz w:val="20"/>
              </w:rPr>
              <w:t>(</w:t>
            </w:r>
            <w:r w:rsidR="00C3736F">
              <w:rPr>
                <w:sz w:val="20"/>
              </w:rPr>
              <w:t>Dec 20</w:t>
            </w:r>
            <w:r w:rsidRPr="00006E2F">
              <w:rPr>
                <w:sz w:val="20"/>
              </w:rPr>
              <w:t>)</w:t>
            </w:r>
          </w:p>
        </w:tc>
        <w:tc>
          <w:tcPr>
            <w:tcW w:w="5384" w:type="dxa"/>
          </w:tcPr>
          <w:p w14:paraId="50062A81" w14:textId="72024B90" w:rsidR="00006E2F" w:rsidRPr="00C3736F" w:rsidRDefault="00006E2F" w:rsidP="00324F84">
            <w:pPr>
              <w:pStyle w:val="BodyText"/>
              <w:spacing w:before="120" w:after="0"/>
              <w:rPr>
                <w:rFonts w:eastAsia="Times New Roman"/>
                <w:b/>
                <w:sz w:val="20"/>
                <w:szCs w:val="20"/>
              </w:rPr>
            </w:pPr>
            <w:r w:rsidRPr="00C3736F">
              <w:rPr>
                <w:rFonts w:eastAsia="Times New Roman"/>
                <w:b/>
                <w:sz w:val="20"/>
                <w:szCs w:val="20"/>
              </w:rPr>
              <w:t>Risk treatment 202</w:t>
            </w:r>
            <w:r w:rsidR="00C3736F">
              <w:rPr>
                <w:rFonts w:eastAsia="Times New Roman"/>
                <w:b/>
                <w:sz w:val="20"/>
                <w:szCs w:val="20"/>
              </w:rPr>
              <w:t>1</w:t>
            </w:r>
            <w:r w:rsidRPr="00C3736F">
              <w:rPr>
                <w:rFonts w:eastAsia="Times New Roman"/>
                <w:b/>
                <w:sz w:val="20"/>
                <w:szCs w:val="20"/>
              </w:rPr>
              <w:t>/05/C: Data analysis</w:t>
            </w:r>
          </w:p>
          <w:p w14:paraId="2DCE3B88" w14:textId="17998503" w:rsidR="00006E2F" w:rsidRPr="00C3736F" w:rsidRDefault="00006E2F" w:rsidP="00324F84">
            <w:pPr>
              <w:pStyle w:val="BodyText"/>
              <w:spacing w:before="120" w:after="0"/>
              <w:rPr>
                <w:rFonts w:eastAsia="Times New Roman"/>
                <w:b/>
                <w:sz w:val="20"/>
                <w:szCs w:val="20"/>
              </w:rPr>
            </w:pPr>
            <w:r w:rsidRPr="00C3736F">
              <w:rPr>
                <w:rFonts w:eastAsia="Times New Roman"/>
                <w:sz w:val="20"/>
                <w:szCs w:val="20"/>
              </w:rPr>
              <w:t>Analyse SAR data to identify trends and patterns in SAR events. Such analyses should be used in conjunction with other data to show broader trends and patterns.   The resultant products will be made available to decision makers and stakeholders.</w:t>
            </w:r>
          </w:p>
        </w:tc>
        <w:tc>
          <w:tcPr>
            <w:tcW w:w="714" w:type="dxa"/>
            <w:shd w:val="clear" w:color="auto" w:fill="00B050"/>
            <w:textDirection w:val="btLr"/>
            <w:vAlign w:val="center"/>
          </w:tcPr>
          <w:p w14:paraId="5BCE9E7B" w14:textId="7C35BC1A" w:rsidR="00006E2F" w:rsidRPr="00DD3830" w:rsidRDefault="00006E2F" w:rsidP="00324F84">
            <w:pPr>
              <w:jc w:val="center"/>
              <w:rPr>
                <w:rFonts w:eastAsia="Times New Roman"/>
                <w:sz w:val="20"/>
                <w:szCs w:val="20"/>
              </w:rPr>
            </w:pPr>
            <w:r w:rsidRPr="00DD3830">
              <w:rPr>
                <w:sz w:val="20"/>
              </w:rPr>
              <w:t>underway</w:t>
            </w:r>
          </w:p>
        </w:tc>
        <w:tc>
          <w:tcPr>
            <w:tcW w:w="854" w:type="dxa"/>
            <w:shd w:val="clear" w:color="auto" w:fill="FFFF00"/>
            <w:textDirection w:val="btLr"/>
            <w:vAlign w:val="center"/>
          </w:tcPr>
          <w:p w14:paraId="20A2B8DD" w14:textId="7C590691" w:rsidR="00006E2F" w:rsidRDefault="00006E2F" w:rsidP="00324F84">
            <w:pPr>
              <w:ind w:left="113" w:right="113"/>
              <w:jc w:val="center"/>
              <w:rPr>
                <w:sz w:val="20"/>
                <w:szCs w:val="20"/>
              </w:rPr>
            </w:pPr>
            <w:r w:rsidRPr="000D0B38">
              <w:rPr>
                <w:sz w:val="20"/>
                <w:szCs w:val="20"/>
              </w:rPr>
              <w:t>20</w:t>
            </w:r>
            <w:r>
              <w:rPr>
                <w:sz w:val="20"/>
                <w:szCs w:val="20"/>
              </w:rPr>
              <w:t>20 -21</w:t>
            </w:r>
          </w:p>
        </w:tc>
        <w:tc>
          <w:tcPr>
            <w:tcW w:w="3260" w:type="dxa"/>
            <w:tcBorders>
              <w:top w:val="single" w:sz="2" w:space="0" w:color="auto"/>
              <w:bottom w:val="single" w:sz="2" w:space="0" w:color="auto"/>
            </w:tcBorders>
            <w:vAlign w:val="center"/>
          </w:tcPr>
          <w:p w14:paraId="1D9ACA82" w14:textId="6062A07A" w:rsidR="00006E2F" w:rsidRPr="00C3736F" w:rsidRDefault="00006E2F" w:rsidP="00324F84">
            <w:pPr>
              <w:pStyle w:val="BodyText"/>
              <w:rPr>
                <w:rFonts w:eastAsia="Times New Roman"/>
                <w:sz w:val="20"/>
                <w:szCs w:val="20"/>
              </w:rPr>
            </w:pPr>
            <w:r w:rsidRPr="00C3736F">
              <w:rPr>
                <w:rFonts w:eastAsia="Times New Roman"/>
                <w:sz w:val="20"/>
                <w:szCs w:val="20"/>
              </w:rPr>
              <w:t>Changing patterns in society, demographics, tourism, recreational activities, participation rates and technology is likely to impact on SAR needs and resources.</w:t>
            </w:r>
          </w:p>
        </w:tc>
      </w:tr>
      <w:tr w:rsidR="00006E2F" w:rsidRPr="00286A2D" w14:paraId="2A51A67B" w14:textId="77777777" w:rsidTr="00006E2F">
        <w:trPr>
          <w:cantSplit/>
          <w:trHeight w:val="550"/>
        </w:trPr>
        <w:tc>
          <w:tcPr>
            <w:tcW w:w="985" w:type="dxa"/>
            <w:vMerge/>
          </w:tcPr>
          <w:p w14:paraId="084B37BD" w14:textId="77777777" w:rsidR="00006E2F" w:rsidRPr="002D6CCE" w:rsidRDefault="00006E2F" w:rsidP="00324F84">
            <w:pPr>
              <w:pStyle w:val="BodyText"/>
              <w:spacing w:before="120" w:after="0"/>
              <w:rPr>
                <w:rFonts w:eastAsia="Times New Roman"/>
                <w:sz w:val="20"/>
                <w:szCs w:val="20"/>
              </w:rPr>
            </w:pPr>
          </w:p>
        </w:tc>
        <w:tc>
          <w:tcPr>
            <w:tcW w:w="1701" w:type="dxa"/>
            <w:vMerge/>
          </w:tcPr>
          <w:p w14:paraId="48A5F872" w14:textId="77777777" w:rsidR="00006E2F" w:rsidRPr="00904DB1" w:rsidRDefault="00006E2F" w:rsidP="00324F84">
            <w:pPr>
              <w:pStyle w:val="BodyText"/>
              <w:spacing w:before="120" w:after="0"/>
              <w:rPr>
                <w:rFonts w:eastAsia="Times New Roman"/>
                <w:b/>
                <w:sz w:val="20"/>
                <w:szCs w:val="20"/>
              </w:rPr>
            </w:pPr>
          </w:p>
        </w:tc>
        <w:tc>
          <w:tcPr>
            <w:tcW w:w="4240" w:type="dxa"/>
            <w:vMerge/>
          </w:tcPr>
          <w:p w14:paraId="2238FC64" w14:textId="77777777" w:rsidR="00006E2F" w:rsidRPr="0019480D" w:rsidRDefault="00006E2F" w:rsidP="00324F84">
            <w:pPr>
              <w:pStyle w:val="BodyText"/>
              <w:spacing w:before="120" w:after="0"/>
              <w:rPr>
                <w:rFonts w:eastAsia="Times New Roman"/>
                <w:sz w:val="20"/>
                <w:szCs w:val="20"/>
              </w:rPr>
            </w:pPr>
          </w:p>
        </w:tc>
        <w:tc>
          <w:tcPr>
            <w:tcW w:w="3546" w:type="dxa"/>
            <w:vMerge/>
          </w:tcPr>
          <w:p w14:paraId="7F374D09" w14:textId="77777777" w:rsidR="00006E2F" w:rsidRPr="00286A2D" w:rsidRDefault="00006E2F" w:rsidP="00324F84">
            <w:pPr>
              <w:pStyle w:val="BodyText"/>
              <w:spacing w:before="120" w:after="0"/>
              <w:rPr>
                <w:rFonts w:eastAsia="Times New Roman"/>
                <w:sz w:val="20"/>
                <w:szCs w:val="20"/>
              </w:rPr>
            </w:pPr>
          </w:p>
        </w:tc>
        <w:tc>
          <w:tcPr>
            <w:tcW w:w="428" w:type="dxa"/>
            <w:vMerge/>
            <w:textDirection w:val="btLr"/>
            <w:vAlign w:val="center"/>
          </w:tcPr>
          <w:p w14:paraId="079341C4" w14:textId="77777777" w:rsidR="00006E2F" w:rsidRDefault="00006E2F" w:rsidP="00324F84">
            <w:pPr>
              <w:pStyle w:val="Heading2"/>
              <w:spacing w:before="120" w:line="360" w:lineRule="auto"/>
              <w:ind w:left="113" w:right="113"/>
              <w:jc w:val="center"/>
              <w:outlineLvl w:val="1"/>
              <w:rPr>
                <w:b w:val="0"/>
                <w:color w:val="auto"/>
                <w:sz w:val="20"/>
              </w:rPr>
            </w:pPr>
          </w:p>
        </w:tc>
        <w:tc>
          <w:tcPr>
            <w:tcW w:w="429" w:type="dxa"/>
            <w:vMerge/>
            <w:textDirection w:val="btLr"/>
            <w:vAlign w:val="center"/>
          </w:tcPr>
          <w:p w14:paraId="374EBA78" w14:textId="77777777" w:rsidR="00006E2F" w:rsidRDefault="00006E2F" w:rsidP="00324F84">
            <w:pPr>
              <w:pStyle w:val="Heading2"/>
              <w:spacing w:before="120" w:line="360" w:lineRule="auto"/>
              <w:ind w:left="113" w:right="113"/>
              <w:jc w:val="center"/>
              <w:outlineLvl w:val="1"/>
              <w:rPr>
                <w:b w:val="0"/>
                <w:color w:val="auto"/>
                <w:sz w:val="20"/>
              </w:rPr>
            </w:pPr>
          </w:p>
        </w:tc>
        <w:tc>
          <w:tcPr>
            <w:tcW w:w="856" w:type="dxa"/>
            <w:tcBorders>
              <w:bottom w:val="single" w:sz="4" w:space="0" w:color="auto"/>
            </w:tcBorders>
            <w:shd w:val="clear" w:color="auto" w:fill="FFFF00"/>
            <w:textDirection w:val="btLr"/>
            <w:vAlign w:val="center"/>
          </w:tcPr>
          <w:p w14:paraId="62546542" w14:textId="7EE4145B" w:rsidR="00006E2F" w:rsidRPr="00006E2F" w:rsidRDefault="00006E2F" w:rsidP="00324F84">
            <w:pPr>
              <w:jc w:val="center"/>
              <w:rPr>
                <w:sz w:val="20"/>
                <w:szCs w:val="20"/>
              </w:rPr>
            </w:pPr>
            <w:r w:rsidRPr="00006E2F">
              <w:rPr>
                <w:sz w:val="20"/>
              </w:rPr>
              <w:t>(</w:t>
            </w:r>
            <w:r w:rsidR="00C3736F">
              <w:rPr>
                <w:sz w:val="20"/>
              </w:rPr>
              <w:t>Dec 20</w:t>
            </w:r>
            <w:r w:rsidRPr="00006E2F">
              <w:rPr>
                <w:sz w:val="20"/>
              </w:rPr>
              <w:t>)</w:t>
            </w:r>
          </w:p>
        </w:tc>
        <w:tc>
          <w:tcPr>
            <w:tcW w:w="5384" w:type="dxa"/>
            <w:tcBorders>
              <w:bottom w:val="single" w:sz="4" w:space="0" w:color="auto"/>
            </w:tcBorders>
          </w:tcPr>
          <w:p w14:paraId="75B5BAB9" w14:textId="42A36E5D" w:rsidR="00006E2F" w:rsidRPr="00C3736F" w:rsidRDefault="00006E2F" w:rsidP="00324F84">
            <w:pPr>
              <w:pStyle w:val="BodyText"/>
              <w:spacing w:before="120" w:after="0"/>
              <w:rPr>
                <w:rFonts w:eastAsia="Times New Roman"/>
                <w:b/>
                <w:sz w:val="20"/>
                <w:szCs w:val="20"/>
              </w:rPr>
            </w:pPr>
            <w:r w:rsidRPr="00C3736F">
              <w:rPr>
                <w:rFonts w:eastAsia="Times New Roman"/>
                <w:b/>
                <w:sz w:val="20"/>
                <w:szCs w:val="20"/>
              </w:rPr>
              <w:t>Risk treatment 202</w:t>
            </w:r>
            <w:r w:rsidR="00C3736F">
              <w:rPr>
                <w:rFonts w:eastAsia="Times New Roman"/>
                <w:b/>
                <w:sz w:val="20"/>
                <w:szCs w:val="20"/>
              </w:rPr>
              <w:t>1</w:t>
            </w:r>
            <w:r w:rsidRPr="00C3736F">
              <w:rPr>
                <w:rFonts w:eastAsia="Times New Roman"/>
                <w:b/>
                <w:sz w:val="20"/>
                <w:szCs w:val="20"/>
              </w:rPr>
              <w:t>/05/D: SAR Operational Analysis</w:t>
            </w:r>
          </w:p>
          <w:p w14:paraId="5ABD82BF" w14:textId="5EED6E1E" w:rsidR="00006E2F" w:rsidRPr="00C3736F" w:rsidRDefault="00006E2F" w:rsidP="00324F84">
            <w:pPr>
              <w:pStyle w:val="BodyText"/>
              <w:spacing w:before="120" w:after="0"/>
              <w:rPr>
                <w:rFonts w:eastAsia="Times New Roman"/>
                <w:b/>
                <w:sz w:val="20"/>
                <w:szCs w:val="20"/>
              </w:rPr>
            </w:pPr>
            <w:r w:rsidRPr="00C3736F">
              <w:rPr>
                <w:rFonts w:eastAsia="Times New Roman"/>
                <w:sz w:val="20"/>
                <w:szCs w:val="20"/>
              </w:rPr>
              <w:t xml:space="preserve">Conduct an operational analysis </w:t>
            </w:r>
            <w:r w:rsidR="006C60B2" w:rsidRPr="00C3736F">
              <w:rPr>
                <w:rFonts w:eastAsia="Times New Roman"/>
                <w:sz w:val="20"/>
                <w:szCs w:val="20"/>
              </w:rPr>
              <w:t xml:space="preserve">(SAR demand and supply) </w:t>
            </w:r>
            <w:r w:rsidRPr="00C3736F">
              <w:rPr>
                <w:rFonts w:eastAsia="Times New Roman"/>
                <w:sz w:val="20"/>
                <w:szCs w:val="20"/>
              </w:rPr>
              <w:t>of SAR need mapped to SAR resources.  Assist SAR providing agencies to reshape their organisations to match proven SAR and SAR related needs. (see also 202</w:t>
            </w:r>
            <w:r w:rsidR="004D4376">
              <w:rPr>
                <w:rFonts w:eastAsia="Times New Roman"/>
                <w:sz w:val="20"/>
                <w:szCs w:val="20"/>
              </w:rPr>
              <w:t>1</w:t>
            </w:r>
            <w:r w:rsidRPr="00C3736F">
              <w:rPr>
                <w:rFonts w:eastAsia="Times New Roman"/>
                <w:sz w:val="20"/>
                <w:szCs w:val="20"/>
              </w:rPr>
              <w:t>/1/F)</w:t>
            </w:r>
          </w:p>
        </w:tc>
        <w:tc>
          <w:tcPr>
            <w:tcW w:w="714" w:type="dxa"/>
            <w:tcBorders>
              <w:bottom w:val="single" w:sz="4" w:space="0" w:color="auto"/>
            </w:tcBorders>
            <w:shd w:val="clear" w:color="auto" w:fill="00B050"/>
            <w:textDirection w:val="btLr"/>
            <w:vAlign w:val="center"/>
          </w:tcPr>
          <w:p w14:paraId="334DB733" w14:textId="1A20418D" w:rsidR="00006E2F" w:rsidRPr="00DD3830" w:rsidRDefault="00006E2F" w:rsidP="00324F84">
            <w:pPr>
              <w:jc w:val="center"/>
              <w:rPr>
                <w:rFonts w:eastAsia="Times New Roman"/>
                <w:sz w:val="20"/>
                <w:szCs w:val="20"/>
              </w:rPr>
            </w:pPr>
            <w:r>
              <w:rPr>
                <w:sz w:val="20"/>
              </w:rPr>
              <w:t>2021</w:t>
            </w:r>
            <w:r w:rsidRPr="00DD3830">
              <w:rPr>
                <w:sz w:val="20"/>
              </w:rPr>
              <w:t xml:space="preserve">Partial </w:t>
            </w:r>
          </w:p>
        </w:tc>
        <w:tc>
          <w:tcPr>
            <w:tcW w:w="854" w:type="dxa"/>
            <w:tcBorders>
              <w:bottom w:val="single" w:sz="4" w:space="0" w:color="auto"/>
            </w:tcBorders>
            <w:shd w:val="clear" w:color="auto" w:fill="FFFF00"/>
            <w:textDirection w:val="btLr"/>
            <w:vAlign w:val="center"/>
          </w:tcPr>
          <w:p w14:paraId="4779E2E3" w14:textId="7E241460" w:rsidR="00006E2F" w:rsidRDefault="00006E2F" w:rsidP="00324F84">
            <w:pPr>
              <w:ind w:left="113" w:right="113"/>
              <w:jc w:val="center"/>
              <w:rPr>
                <w:sz w:val="20"/>
                <w:szCs w:val="20"/>
              </w:rPr>
            </w:pPr>
            <w:r w:rsidRPr="000D0B38">
              <w:rPr>
                <w:sz w:val="20"/>
                <w:szCs w:val="20"/>
              </w:rPr>
              <w:t>20</w:t>
            </w:r>
            <w:r>
              <w:rPr>
                <w:sz w:val="20"/>
                <w:szCs w:val="20"/>
              </w:rPr>
              <w:t>2</w:t>
            </w:r>
            <w:r w:rsidR="004D4376">
              <w:rPr>
                <w:sz w:val="20"/>
                <w:szCs w:val="20"/>
              </w:rPr>
              <w:t>0</w:t>
            </w:r>
            <w:r>
              <w:rPr>
                <w:sz w:val="20"/>
                <w:szCs w:val="20"/>
              </w:rPr>
              <w:t xml:space="preserve"> / 21</w:t>
            </w:r>
          </w:p>
        </w:tc>
        <w:tc>
          <w:tcPr>
            <w:tcW w:w="3260" w:type="dxa"/>
            <w:tcBorders>
              <w:top w:val="single" w:sz="2" w:space="0" w:color="auto"/>
              <w:bottom w:val="single" w:sz="4" w:space="0" w:color="auto"/>
            </w:tcBorders>
            <w:vAlign w:val="center"/>
          </w:tcPr>
          <w:p w14:paraId="2A02039F" w14:textId="76000F9C" w:rsidR="00006E2F" w:rsidRPr="00C3736F" w:rsidRDefault="00006E2F" w:rsidP="00324F84">
            <w:pPr>
              <w:pStyle w:val="BodyText"/>
              <w:rPr>
                <w:rFonts w:eastAsia="Times New Roman"/>
                <w:sz w:val="20"/>
                <w:szCs w:val="20"/>
              </w:rPr>
            </w:pPr>
            <w:r w:rsidRPr="00C3736F">
              <w:rPr>
                <w:rFonts w:eastAsia="Times New Roman"/>
                <w:sz w:val="20"/>
                <w:szCs w:val="20"/>
              </w:rPr>
              <w:t>Land SAR Supply and demand complete</w:t>
            </w:r>
            <w:r w:rsidR="006C60B2" w:rsidRPr="00C3736F">
              <w:rPr>
                <w:rFonts w:eastAsia="Times New Roman"/>
                <w:sz w:val="20"/>
                <w:szCs w:val="20"/>
              </w:rPr>
              <w:t xml:space="preserve"> (but not yet useful) as it r</w:t>
            </w:r>
            <w:r w:rsidRPr="00C3736F">
              <w:rPr>
                <w:rFonts w:eastAsia="Times New Roman"/>
                <w:sz w:val="20"/>
                <w:szCs w:val="20"/>
              </w:rPr>
              <w:t xml:space="preserve">equires analysis and inclusion of Police information.  No marine </w:t>
            </w:r>
            <w:r w:rsidR="006C60B2" w:rsidRPr="00C3736F">
              <w:rPr>
                <w:rFonts w:eastAsia="Times New Roman"/>
                <w:sz w:val="20"/>
                <w:szCs w:val="20"/>
              </w:rPr>
              <w:t>analysis</w:t>
            </w:r>
            <w:r w:rsidRPr="00C3736F">
              <w:rPr>
                <w:rFonts w:eastAsia="Times New Roman"/>
                <w:sz w:val="20"/>
                <w:szCs w:val="20"/>
              </w:rPr>
              <w:t xml:space="preserve"> </w:t>
            </w:r>
            <w:proofErr w:type="gramStart"/>
            <w:r w:rsidRPr="00C3736F">
              <w:rPr>
                <w:rFonts w:eastAsia="Times New Roman"/>
                <w:sz w:val="20"/>
                <w:szCs w:val="20"/>
              </w:rPr>
              <w:t>as yet</w:t>
            </w:r>
            <w:proofErr w:type="gramEnd"/>
            <w:r w:rsidRPr="00C3736F">
              <w:rPr>
                <w:rFonts w:eastAsia="Times New Roman"/>
                <w:sz w:val="20"/>
                <w:szCs w:val="20"/>
              </w:rPr>
              <w:t>.</w:t>
            </w:r>
          </w:p>
        </w:tc>
      </w:tr>
      <w:tr w:rsidR="00006E2F" w:rsidRPr="00286A2D" w14:paraId="337A2318" w14:textId="77777777" w:rsidTr="00006E2F">
        <w:trPr>
          <w:cantSplit/>
          <w:trHeight w:val="550"/>
        </w:trPr>
        <w:tc>
          <w:tcPr>
            <w:tcW w:w="985" w:type="dxa"/>
            <w:vMerge/>
            <w:tcBorders>
              <w:bottom w:val="single" w:sz="24" w:space="0" w:color="auto"/>
            </w:tcBorders>
          </w:tcPr>
          <w:p w14:paraId="0D19413F" w14:textId="77777777" w:rsidR="00006E2F" w:rsidRPr="002D6CCE" w:rsidRDefault="00006E2F" w:rsidP="00324F84">
            <w:pPr>
              <w:pStyle w:val="BodyText"/>
              <w:spacing w:before="120" w:after="0"/>
              <w:rPr>
                <w:rFonts w:eastAsia="Times New Roman"/>
                <w:sz w:val="20"/>
                <w:szCs w:val="20"/>
              </w:rPr>
            </w:pPr>
          </w:p>
        </w:tc>
        <w:tc>
          <w:tcPr>
            <w:tcW w:w="1701" w:type="dxa"/>
            <w:vMerge/>
            <w:tcBorders>
              <w:bottom w:val="single" w:sz="24" w:space="0" w:color="auto"/>
            </w:tcBorders>
          </w:tcPr>
          <w:p w14:paraId="1CE8C2B7" w14:textId="77777777" w:rsidR="00006E2F" w:rsidRPr="00904DB1" w:rsidRDefault="00006E2F" w:rsidP="00324F84">
            <w:pPr>
              <w:pStyle w:val="BodyText"/>
              <w:spacing w:before="120" w:after="0"/>
              <w:rPr>
                <w:rFonts w:eastAsia="Times New Roman"/>
                <w:b/>
                <w:sz w:val="20"/>
                <w:szCs w:val="20"/>
              </w:rPr>
            </w:pPr>
          </w:p>
        </w:tc>
        <w:tc>
          <w:tcPr>
            <w:tcW w:w="4240" w:type="dxa"/>
            <w:vMerge/>
            <w:tcBorders>
              <w:bottom w:val="single" w:sz="24" w:space="0" w:color="auto"/>
            </w:tcBorders>
          </w:tcPr>
          <w:p w14:paraId="28829C22" w14:textId="77777777" w:rsidR="00006E2F" w:rsidRPr="0019480D" w:rsidRDefault="00006E2F" w:rsidP="00324F84">
            <w:pPr>
              <w:pStyle w:val="BodyText"/>
              <w:spacing w:before="120" w:after="0"/>
              <w:rPr>
                <w:rFonts w:eastAsia="Times New Roman"/>
                <w:sz w:val="20"/>
                <w:szCs w:val="20"/>
              </w:rPr>
            </w:pPr>
          </w:p>
        </w:tc>
        <w:tc>
          <w:tcPr>
            <w:tcW w:w="3546" w:type="dxa"/>
            <w:vMerge/>
            <w:tcBorders>
              <w:bottom w:val="single" w:sz="24" w:space="0" w:color="auto"/>
            </w:tcBorders>
          </w:tcPr>
          <w:p w14:paraId="35AC79ED" w14:textId="77777777" w:rsidR="00006E2F" w:rsidRPr="00286A2D" w:rsidRDefault="00006E2F" w:rsidP="00324F84">
            <w:pPr>
              <w:pStyle w:val="BodyText"/>
              <w:spacing w:before="120" w:after="0"/>
              <w:rPr>
                <w:rFonts w:eastAsia="Times New Roman"/>
                <w:sz w:val="20"/>
                <w:szCs w:val="20"/>
              </w:rPr>
            </w:pPr>
          </w:p>
        </w:tc>
        <w:tc>
          <w:tcPr>
            <w:tcW w:w="428" w:type="dxa"/>
            <w:vMerge/>
            <w:tcBorders>
              <w:bottom w:val="single" w:sz="24" w:space="0" w:color="auto"/>
            </w:tcBorders>
            <w:textDirection w:val="btLr"/>
            <w:vAlign w:val="center"/>
          </w:tcPr>
          <w:p w14:paraId="34CE4E11" w14:textId="77777777" w:rsidR="00006E2F" w:rsidRDefault="00006E2F" w:rsidP="00324F84">
            <w:pPr>
              <w:pStyle w:val="Heading2"/>
              <w:spacing w:before="120" w:line="360" w:lineRule="auto"/>
              <w:ind w:left="113" w:right="113"/>
              <w:jc w:val="center"/>
              <w:outlineLvl w:val="1"/>
              <w:rPr>
                <w:b w:val="0"/>
                <w:color w:val="auto"/>
                <w:sz w:val="20"/>
              </w:rPr>
            </w:pPr>
          </w:p>
        </w:tc>
        <w:tc>
          <w:tcPr>
            <w:tcW w:w="429" w:type="dxa"/>
            <w:vMerge/>
            <w:tcBorders>
              <w:bottom w:val="single" w:sz="24" w:space="0" w:color="auto"/>
            </w:tcBorders>
            <w:textDirection w:val="btLr"/>
            <w:vAlign w:val="center"/>
          </w:tcPr>
          <w:p w14:paraId="6995BB43" w14:textId="77777777" w:rsidR="00006E2F" w:rsidRDefault="00006E2F" w:rsidP="00324F84">
            <w:pPr>
              <w:pStyle w:val="Heading2"/>
              <w:spacing w:before="120" w:line="360" w:lineRule="auto"/>
              <w:ind w:left="113" w:right="113"/>
              <w:jc w:val="center"/>
              <w:outlineLvl w:val="1"/>
              <w:rPr>
                <w:b w:val="0"/>
                <w:color w:val="auto"/>
                <w:sz w:val="20"/>
              </w:rPr>
            </w:pPr>
          </w:p>
        </w:tc>
        <w:tc>
          <w:tcPr>
            <w:tcW w:w="856" w:type="dxa"/>
            <w:tcBorders>
              <w:top w:val="single" w:sz="4" w:space="0" w:color="auto"/>
              <w:bottom w:val="single" w:sz="24" w:space="0" w:color="auto"/>
            </w:tcBorders>
            <w:shd w:val="clear" w:color="auto" w:fill="FFFF00"/>
            <w:textDirection w:val="btLr"/>
            <w:vAlign w:val="center"/>
          </w:tcPr>
          <w:p w14:paraId="303DF86B" w14:textId="73B19668" w:rsidR="00006E2F" w:rsidRPr="00006E2F" w:rsidRDefault="00006E2F" w:rsidP="00324F84">
            <w:pPr>
              <w:jc w:val="center"/>
              <w:rPr>
                <w:sz w:val="20"/>
              </w:rPr>
            </w:pPr>
            <w:r w:rsidRPr="00006E2F">
              <w:rPr>
                <w:sz w:val="20"/>
              </w:rPr>
              <w:t>(</w:t>
            </w:r>
            <w:r w:rsidR="00C3736F">
              <w:rPr>
                <w:sz w:val="20"/>
              </w:rPr>
              <w:t>Dec 20</w:t>
            </w:r>
            <w:r w:rsidRPr="00006E2F">
              <w:rPr>
                <w:sz w:val="20"/>
              </w:rPr>
              <w:t>)</w:t>
            </w:r>
          </w:p>
        </w:tc>
        <w:tc>
          <w:tcPr>
            <w:tcW w:w="5384" w:type="dxa"/>
            <w:tcBorders>
              <w:top w:val="single" w:sz="4" w:space="0" w:color="auto"/>
              <w:bottom w:val="single" w:sz="24" w:space="0" w:color="auto"/>
            </w:tcBorders>
          </w:tcPr>
          <w:p w14:paraId="546FFD1B" w14:textId="7903DCE4" w:rsidR="00006E2F" w:rsidRPr="008A5A2F" w:rsidRDefault="00006E2F" w:rsidP="00324F84">
            <w:pPr>
              <w:pStyle w:val="BodyText"/>
              <w:spacing w:before="120" w:after="0"/>
              <w:rPr>
                <w:rFonts w:eastAsia="Times New Roman"/>
                <w:b/>
                <w:sz w:val="20"/>
                <w:szCs w:val="20"/>
              </w:rPr>
            </w:pPr>
            <w:r w:rsidRPr="008A5A2F">
              <w:rPr>
                <w:rFonts w:eastAsia="Times New Roman"/>
                <w:b/>
                <w:sz w:val="20"/>
                <w:szCs w:val="20"/>
              </w:rPr>
              <w:t xml:space="preserve">Risk treatment </w:t>
            </w:r>
            <w:r>
              <w:rPr>
                <w:rFonts w:eastAsia="Times New Roman"/>
                <w:b/>
                <w:sz w:val="20"/>
                <w:szCs w:val="20"/>
              </w:rPr>
              <w:t>202</w:t>
            </w:r>
            <w:r w:rsidR="00C3736F">
              <w:rPr>
                <w:rFonts w:eastAsia="Times New Roman"/>
                <w:b/>
                <w:sz w:val="20"/>
                <w:szCs w:val="20"/>
              </w:rPr>
              <w:t>1</w:t>
            </w:r>
            <w:r w:rsidRPr="008A5A2F">
              <w:rPr>
                <w:rFonts w:eastAsia="Times New Roman"/>
                <w:b/>
                <w:sz w:val="20"/>
                <w:szCs w:val="20"/>
              </w:rPr>
              <w:t>/0</w:t>
            </w:r>
            <w:r>
              <w:rPr>
                <w:rFonts w:eastAsia="Times New Roman"/>
                <w:b/>
                <w:sz w:val="20"/>
                <w:szCs w:val="20"/>
              </w:rPr>
              <w:t>5</w:t>
            </w:r>
            <w:r w:rsidRPr="008A5A2F">
              <w:rPr>
                <w:rFonts w:eastAsia="Times New Roman"/>
                <w:b/>
                <w:sz w:val="20"/>
                <w:szCs w:val="20"/>
              </w:rPr>
              <w:t>/</w:t>
            </w:r>
            <w:r>
              <w:rPr>
                <w:rFonts w:eastAsia="Times New Roman"/>
                <w:b/>
                <w:sz w:val="20"/>
                <w:szCs w:val="20"/>
              </w:rPr>
              <w:t>E</w:t>
            </w:r>
            <w:r w:rsidRPr="008A5A2F">
              <w:rPr>
                <w:rFonts w:eastAsia="Times New Roman"/>
                <w:b/>
                <w:sz w:val="20"/>
                <w:szCs w:val="20"/>
              </w:rPr>
              <w:t xml:space="preserve">: </w:t>
            </w:r>
            <w:r>
              <w:rPr>
                <w:rFonts w:eastAsia="Times New Roman"/>
                <w:b/>
                <w:sz w:val="20"/>
                <w:szCs w:val="20"/>
              </w:rPr>
              <w:t xml:space="preserve">SAR Open Data Initiative.  </w:t>
            </w:r>
            <w:r w:rsidRPr="00006E2F">
              <w:rPr>
                <w:rFonts w:eastAsia="Times New Roman"/>
                <w:sz w:val="20"/>
                <w:szCs w:val="20"/>
              </w:rPr>
              <w:t>Build a public API to expose a curated dataset of SAR data that is safe to release in line with the SARdonyx data sharing MOU.</w:t>
            </w:r>
            <w:r>
              <w:rPr>
                <w:rFonts w:eastAsia="Times New Roman"/>
                <w:b/>
                <w:sz w:val="20"/>
                <w:szCs w:val="20"/>
              </w:rPr>
              <w:t xml:space="preserve"> </w:t>
            </w:r>
          </w:p>
        </w:tc>
        <w:tc>
          <w:tcPr>
            <w:tcW w:w="714" w:type="dxa"/>
            <w:tcBorders>
              <w:top w:val="single" w:sz="4" w:space="0" w:color="auto"/>
              <w:bottom w:val="single" w:sz="24" w:space="0" w:color="auto"/>
            </w:tcBorders>
            <w:shd w:val="clear" w:color="auto" w:fill="FF0000"/>
            <w:textDirection w:val="btLr"/>
            <w:vAlign w:val="center"/>
          </w:tcPr>
          <w:p w14:paraId="674DE5A6" w14:textId="77777777" w:rsidR="00006E2F" w:rsidRPr="00DD3830" w:rsidRDefault="00006E2F" w:rsidP="00324F84">
            <w:pPr>
              <w:jc w:val="center"/>
              <w:rPr>
                <w:sz w:val="20"/>
              </w:rPr>
            </w:pPr>
          </w:p>
        </w:tc>
        <w:tc>
          <w:tcPr>
            <w:tcW w:w="854" w:type="dxa"/>
            <w:tcBorders>
              <w:top w:val="single" w:sz="4" w:space="0" w:color="auto"/>
              <w:bottom w:val="single" w:sz="24" w:space="0" w:color="auto"/>
            </w:tcBorders>
            <w:shd w:val="clear" w:color="auto" w:fill="00B050"/>
            <w:textDirection w:val="btLr"/>
            <w:vAlign w:val="center"/>
          </w:tcPr>
          <w:p w14:paraId="32700046" w14:textId="46BD503F" w:rsidR="00006E2F" w:rsidRPr="000D0B38" w:rsidRDefault="00006E2F" w:rsidP="00324F84">
            <w:pPr>
              <w:ind w:left="113" w:right="113"/>
              <w:jc w:val="center"/>
              <w:rPr>
                <w:sz w:val="20"/>
                <w:szCs w:val="20"/>
              </w:rPr>
            </w:pPr>
            <w:r>
              <w:rPr>
                <w:sz w:val="20"/>
                <w:szCs w:val="20"/>
              </w:rPr>
              <w:t>2021</w:t>
            </w:r>
          </w:p>
        </w:tc>
        <w:tc>
          <w:tcPr>
            <w:tcW w:w="3260" w:type="dxa"/>
            <w:tcBorders>
              <w:top w:val="single" w:sz="4" w:space="0" w:color="auto"/>
              <w:bottom w:val="single" w:sz="24" w:space="0" w:color="auto"/>
            </w:tcBorders>
            <w:vAlign w:val="center"/>
          </w:tcPr>
          <w:p w14:paraId="0DC757A6" w14:textId="423E9D53" w:rsidR="00006E2F" w:rsidRPr="00C3736F" w:rsidRDefault="006366CE" w:rsidP="00324F84">
            <w:pPr>
              <w:pStyle w:val="BodyText"/>
              <w:rPr>
                <w:rFonts w:eastAsia="Times New Roman"/>
                <w:sz w:val="20"/>
                <w:szCs w:val="20"/>
              </w:rPr>
            </w:pPr>
            <w:r w:rsidRPr="00C3736F">
              <w:rPr>
                <w:rFonts w:eastAsia="Times New Roman"/>
                <w:sz w:val="20"/>
                <w:szCs w:val="20"/>
              </w:rPr>
              <w:t xml:space="preserve">Aim to implement as resources allow.  </w:t>
            </w:r>
            <w:proofErr w:type="gramStart"/>
            <w:r w:rsidR="006C60B2" w:rsidRPr="00C3736F">
              <w:rPr>
                <w:rFonts w:eastAsia="Times New Roman"/>
                <w:sz w:val="20"/>
                <w:szCs w:val="20"/>
              </w:rPr>
              <w:t>Planned  for</w:t>
            </w:r>
            <w:proofErr w:type="gramEnd"/>
            <w:r w:rsidR="006C60B2" w:rsidRPr="00C3736F">
              <w:rPr>
                <w:rFonts w:eastAsia="Times New Roman"/>
                <w:sz w:val="20"/>
                <w:szCs w:val="20"/>
              </w:rPr>
              <w:t xml:space="preserve"> </w:t>
            </w:r>
            <w:r w:rsidRPr="00C3736F">
              <w:rPr>
                <w:rFonts w:eastAsia="Times New Roman"/>
                <w:sz w:val="20"/>
                <w:szCs w:val="20"/>
              </w:rPr>
              <w:t>2021</w:t>
            </w:r>
            <w:r w:rsidR="006C60B2" w:rsidRPr="00C3736F">
              <w:rPr>
                <w:rFonts w:eastAsia="Times New Roman"/>
                <w:sz w:val="20"/>
                <w:szCs w:val="20"/>
              </w:rPr>
              <w:t xml:space="preserve">. </w:t>
            </w:r>
          </w:p>
        </w:tc>
      </w:tr>
      <w:tr w:rsidR="009917A4" w:rsidRPr="009441E2" w14:paraId="3942EAB0" w14:textId="77777777" w:rsidTr="00BA0E5C">
        <w:trPr>
          <w:cantSplit/>
          <w:trHeight w:val="1143"/>
        </w:trPr>
        <w:tc>
          <w:tcPr>
            <w:tcW w:w="985" w:type="dxa"/>
            <w:vMerge w:val="restart"/>
            <w:tcBorders>
              <w:top w:val="single" w:sz="24" w:space="0" w:color="auto"/>
            </w:tcBorders>
          </w:tcPr>
          <w:p w14:paraId="089557D5" w14:textId="45C4F115" w:rsidR="009917A4" w:rsidRPr="009441E2" w:rsidRDefault="009917A4" w:rsidP="00A92280">
            <w:pPr>
              <w:pStyle w:val="BodyText"/>
              <w:spacing w:after="0"/>
              <w:rPr>
                <w:rFonts w:eastAsia="Times New Roman"/>
                <w:sz w:val="20"/>
                <w:szCs w:val="20"/>
              </w:rPr>
            </w:pPr>
            <w:r>
              <w:rPr>
                <w:rFonts w:eastAsia="Times New Roman"/>
                <w:sz w:val="20"/>
                <w:szCs w:val="20"/>
              </w:rPr>
              <w:t>202</w:t>
            </w:r>
            <w:r w:rsidR="00C3736F">
              <w:rPr>
                <w:rFonts w:eastAsia="Times New Roman"/>
                <w:sz w:val="20"/>
                <w:szCs w:val="20"/>
              </w:rPr>
              <w:t>1</w:t>
            </w:r>
            <w:r>
              <w:rPr>
                <w:rFonts w:eastAsia="Times New Roman"/>
                <w:sz w:val="20"/>
                <w:szCs w:val="20"/>
              </w:rPr>
              <w:t>/0</w:t>
            </w:r>
            <w:r w:rsidR="00A92280">
              <w:rPr>
                <w:rFonts w:eastAsia="Times New Roman"/>
                <w:sz w:val="20"/>
                <w:szCs w:val="20"/>
              </w:rPr>
              <w:t>6</w:t>
            </w:r>
          </w:p>
        </w:tc>
        <w:tc>
          <w:tcPr>
            <w:tcW w:w="1701" w:type="dxa"/>
            <w:vMerge w:val="restart"/>
            <w:tcBorders>
              <w:top w:val="single" w:sz="24" w:space="0" w:color="auto"/>
            </w:tcBorders>
          </w:tcPr>
          <w:p w14:paraId="645744B8" w14:textId="77777777" w:rsidR="009917A4" w:rsidRDefault="009917A4" w:rsidP="00A92280">
            <w:pPr>
              <w:pStyle w:val="BodyText"/>
              <w:spacing w:after="0"/>
              <w:rPr>
                <w:rFonts w:eastAsia="Times New Roman"/>
                <w:sz w:val="20"/>
                <w:szCs w:val="20"/>
              </w:rPr>
            </w:pPr>
            <w:r w:rsidRPr="00F2275D">
              <w:rPr>
                <w:b/>
                <w:sz w:val="20"/>
              </w:rPr>
              <w:t xml:space="preserve">Nationally Significant Search and Rescue Event. </w:t>
            </w:r>
            <w:r w:rsidRPr="00F2275D">
              <w:rPr>
                <w:sz w:val="20"/>
              </w:rPr>
              <w:t xml:space="preserve"> </w:t>
            </w:r>
          </w:p>
          <w:p w14:paraId="02F4257B" w14:textId="77777777" w:rsidR="009917A4" w:rsidRDefault="009917A4" w:rsidP="00A92280">
            <w:pPr>
              <w:pStyle w:val="BodyText"/>
              <w:spacing w:after="0"/>
              <w:rPr>
                <w:rFonts w:eastAsia="Times New Roman"/>
                <w:sz w:val="20"/>
                <w:szCs w:val="20"/>
              </w:rPr>
            </w:pPr>
            <w:r w:rsidRPr="00F2275D">
              <w:rPr>
                <w:sz w:val="20"/>
              </w:rPr>
              <w:t>Certain</w:t>
            </w:r>
            <w:r w:rsidRPr="00F2275D">
              <w:rPr>
                <w:b/>
                <w:sz w:val="20"/>
              </w:rPr>
              <w:t xml:space="preserve"> </w:t>
            </w:r>
            <w:r w:rsidRPr="00F2275D">
              <w:rPr>
                <w:sz w:val="20"/>
              </w:rPr>
              <w:t xml:space="preserve">search and/or rescue events may overwhelm normal SAR capabilities and trigger the involvement of the National Security System.   </w:t>
            </w:r>
          </w:p>
          <w:p w14:paraId="6B4EA2F8" w14:textId="77777777" w:rsidR="009917A4" w:rsidRPr="009441E2" w:rsidRDefault="009917A4" w:rsidP="00A92280">
            <w:pPr>
              <w:pStyle w:val="BodyText"/>
              <w:spacing w:after="0"/>
              <w:rPr>
                <w:rFonts w:eastAsia="Times New Roman"/>
                <w:sz w:val="20"/>
                <w:szCs w:val="20"/>
              </w:rPr>
            </w:pPr>
          </w:p>
        </w:tc>
        <w:tc>
          <w:tcPr>
            <w:tcW w:w="4240" w:type="dxa"/>
            <w:vMerge w:val="restart"/>
            <w:tcBorders>
              <w:top w:val="single" w:sz="24" w:space="0" w:color="auto"/>
            </w:tcBorders>
          </w:tcPr>
          <w:p w14:paraId="42CEE248" w14:textId="77777777" w:rsidR="009917A4" w:rsidRPr="00F2275D" w:rsidRDefault="009917A4" w:rsidP="00A92280">
            <w:pPr>
              <w:rPr>
                <w:bCs/>
                <w:sz w:val="20"/>
                <w:szCs w:val="24"/>
                <w:lang w:val="en-GB"/>
              </w:rPr>
            </w:pPr>
            <w:r>
              <w:rPr>
                <w:sz w:val="20"/>
              </w:rPr>
              <w:t>Nationally significant SAR events</w:t>
            </w:r>
            <w:r w:rsidRPr="00F2275D">
              <w:rPr>
                <w:sz w:val="20"/>
              </w:rPr>
              <w:t xml:space="preserve"> may: require considerable resources to resolve; involve significant numbers of people and/or fatalities; attract substantial domestic and international attention; introduce reputational risks to SAR agencies and New Zealand.</w:t>
            </w:r>
            <w:r w:rsidRPr="00F2275D">
              <w:rPr>
                <w:bCs/>
                <w:sz w:val="20"/>
                <w:szCs w:val="24"/>
                <w:lang w:val="en-GB"/>
              </w:rPr>
              <w:t xml:space="preserve">  </w:t>
            </w:r>
          </w:p>
          <w:p w14:paraId="15CBBB00" w14:textId="77777777" w:rsidR="009917A4" w:rsidRDefault="009917A4" w:rsidP="00A92280">
            <w:pPr>
              <w:pStyle w:val="BodyText"/>
              <w:spacing w:after="0"/>
              <w:rPr>
                <w:rFonts w:eastAsia="Times New Roman"/>
                <w:sz w:val="20"/>
                <w:szCs w:val="20"/>
              </w:rPr>
            </w:pPr>
            <w:r>
              <w:rPr>
                <w:rFonts w:eastAsia="Times New Roman"/>
                <w:sz w:val="20"/>
                <w:szCs w:val="20"/>
              </w:rPr>
              <w:t xml:space="preserve">New Zealand’s SAR sector has very limited capacity to respond to large scale SAR events and we have a very large SAR region with little or no SAR assets able to cover much of the region. </w:t>
            </w:r>
          </w:p>
          <w:p w14:paraId="43D1B67B" w14:textId="77777777" w:rsidR="009917A4" w:rsidRDefault="009917A4" w:rsidP="00A92280">
            <w:pPr>
              <w:pStyle w:val="BodyText"/>
              <w:spacing w:after="0"/>
              <w:rPr>
                <w:rFonts w:eastAsia="Times New Roman"/>
                <w:sz w:val="20"/>
                <w:szCs w:val="20"/>
              </w:rPr>
            </w:pPr>
            <w:r>
              <w:rPr>
                <w:rFonts w:eastAsia="Times New Roman"/>
                <w:sz w:val="20"/>
                <w:szCs w:val="20"/>
              </w:rPr>
              <w:t xml:space="preserve">Significant numbers of vessels and aircraft with large amounts of passengers transit the NZSRR. </w:t>
            </w:r>
          </w:p>
          <w:p w14:paraId="5F527176" w14:textId="77777777" w:rsidR="009917A4" w:rsidRPr="009441E2" w:rsidRDefault="009917A4" w:rsidP="00A92280">
            <w:pPr>
              <w:pStyle w:val="BodyText"/>
              <w:spacing w:after="0"/>
              <w:rPr>
                <w:rFonts w:eastAsia="Times New Roman"/>
                <w:sz w:val="20"/>
                <w:szCs w:val="20"/>
              </w:rPr>
            </w:pPr>
          </w:p>
        </w:tc>
        <w:tc>
          <w:tcPr>
            <w:tcW w:w="3546" w:type="dxa"/>
            <w:vMerge w:val="restart"/>
            <w:tcBorders>
              <w:top w:val="single" w:sz="24" w:space="0" w:color="auto"/>
            </w:tcBorders>
          </w:tcPr>
          <w:p w14:paraId="78D7A178" w14:textId="77777777" w:rsidR="009917A4" w:rsidRPr="008655D7" w:rsidRDefault="009917A4" w:rsidP="00A92280">
            <w:pPr>
              <w:pStyle w:val="BodyTextIndentBullet"/>
              <w:spacing w:before="0"/>
              <w:ind w:left="318" w:right="45" w:hanging="318"/>
              <w:rPr>
                <w:szCs w:val="20"/>
              </w:rPr>
            </w:pPr>
            <w:r w:rsidRPr="008655D7">
              <w:rPr>
                <w:szCs w:val="20"/>
              </w:rPr>
              <w:t>Significant numbers of people injured or killed that could have been rescued.</w:t>
            </w:r>
          </w:p>
          <w:p w14:paraId="035A5E20" w14:textId="77777777" w:rsidR="009917A4" w:rsidRPr="008655D7" w:rsidRDefault="009917A4" w:rsidP="00A92280">
            <w:pPr>
              <w:pStyle w:val="BodyTextIndentBullet"/>
              <w:spacing w:before="0"/>
              <w:ind w:left="318" w:right="45" w:hanging="318"/>
              <w:rPr>
                <w:szCs w:val="20"/>
              </w:rPr>
            </w:pPr>
            <w:r w:rsidRPr="008655D7">
              <w:rPr>
                <w:szCs w:val="20"/>
              </w:rPr>
              <w:t>Severe reputational damage to SAR agencies.</w:t>
            </w:r>
          </w:p>
          <w:p w14:paraId="3CD9A9E6" w14:textId="77777777" w:rsidR="009917A4" w:rsidRPr="008655D7" w:rsidRDefault="009917A4" w:rsidP="00A92280">
            <w:pPr>
              <w:pStyle w:val="BodyTextIndentBullet"/>
              <w:spacing w:before="0"/>
              <w:ind w:left="318" w:right="45" w:hanging="318"/>
              <w:rPr>
                <w:szCs w:val="20"/>
              </w:rPr>
            </w:pPr>
            <w:r w:rsidRPr="008655D7">
              <w:rPr>
                <w:szCs w:val="20"/>
              </w:rPr>
              <w:t>Severe reputational harm to New Zealand as a tourist destination.</w:t>
            </w:r>
          </w:p>
        </w:tc>
        <w:tc>
          <w:tcPr>
            <w:tcW w:w="428" w:type="dxa"/>
            <w:vMerge w:val="restart"/>
            <w:tcBorders>
              <w:top w:val="single" w:sz="24" w:space="0" w:color="auto"/>
            </w:tcBorders>
            <w:textDirection w:val="btLr"/>
            <w:vAlign w:val="center"/>
          </w:tcPr>
          <w:p w14:paraId="05579FD8" w14:textId="77777777" w:rsidR="009917A4" w:rsidRPr="009441E2" w:rsidRDefault="009917A4" w:rsidP="00A92280">
            <w:pPr>
              <w:pStyle w:val="BodyText"/>
              <w:spacing w:after="0"/>
              <w:jc w:val="center"/>
              <w:rPr>
                <w:rFonts w:eastAsia="Times New Roman"/>
                <w:sz w:val="20"/>
                <w:szCs w:val="20"/>
              </w:rPr>
            </w:pPr>
            <w:r>
              <w:rPr>
                <w:rFonts w:eastAsia="Times New Roman"/>
                <w:sz w:val="20"/>
                <w:szCs w:val="20"/>
              </w:rPr>
              <w:t>Rare</w:t>
            </w:r>
          </w:p>
        </w:tc>
        <w:tc>
          <w:tcPr>
            <w:tcW w:w="429" w:type="dxa"/>
            <w:vMerge w:val="restart"/>
            <w:tcBorders>
              <w:top w:val="single" w:sz="24" w:space="0" w:color="auto"/>
            </w:tcBorders>
            <w:textDirection w:val="btLr"/>
            <w:vAlign w:val="center"/>
          </w:tcPr>
          <w:p w14:paraId="0D9BD94B" w14:textId="77777777" w:rsidR="009917A4" w:rsidRPr="009441E2" w:rsidRDefault="009917A4" w:rsidP="00A92280">
            <w:pPr>
              <w:pStyle w:val="BodyText"/>
              <w:spacing w:after="0"/>
              <w:jc w:val="center"/>
              <w:rPr>
                <w:rFonts w:eastAsia="Times New Roman"/>
                <w:sz w:val="20"/>
                <w:szCs w:val="20"/>
              </w:rPr>
            </w:pPr>
            <w:r>
              <w:rPr>
                <w:rFonts w:eastAsia="Times New Roman"/>
                <w:sz w:val="20"/>
                <w:szCs w:val="20"/>
              </w:rPr>
              <w:t>Severe</w:t>
            </w:r>
          </w:p>
        </w:tc>
        <w:tc>
          <w:tcPr>
            <w:tcW w:w="856" w:type="dxa"/>
            <w:tcBorders>
              <w:top w:val="single" w:sz="24" w:space="0" w:color="auto"/>
            </w:tcBorders>
            <w:shd w:val="clear" w:color="auto" w:fill="FFFF00"/>
            <w:textDirection w:val="btLr"/>
            <w:vAlign w:val="center"/>
          </w:tcPr>
          <w:p w14:paraId="2EEBD216" w14:textId="2D851418" w:rsidR="009917A4" w:rsidRPr="00FD28C8" w:rsidRDefault="009917A4" w:rsidP="00A92280">
            <w:pPr>
              <w:pStyle w:val="BodyText"/>
              <w:spacing w:after="0"/>
              <w:jc w:val="center"/>
              <w:rPr>
                <w:rFonts w:eastAsia="Times New Roman"/>
                <w:sz w:val="20"/>
                <w:szCs w:val="20"/>
              </w:rPr>
            </w:pPr>
            <w:r w:rsidRPr="00FD28C8">
              <w:rPr>
                <w:sz w:val="20"/>
              </w:rPr>
              <w:t>(</w:t>
            </w:r>
            <w:r w:rsidR="00793463">
              <w:rPr>
                <w:sz w:val="20"/>
              </w:rPr>
              <w:t>Sep 21</w:t>
            </w:r>
            <w:r w:rsidRPr="00FD28C8">
              <w:rPr>
                <w:sz w:val="20"/>
              </w:rPr>
              <w:t>)</w:t>
            </w:r>
          </w:p>
        </w:tc>
        <w:tc>
          <w:tcPr>
            <w:tcW w:w="5384" w:type="dxa"/>
            <w:tcBorders>
              <w:top w:val="single" w:sz="24" w:space="0" w:color="auto"/>
            </w:tcBorders>
          </w:tcPr>
          <w:p w14:paraId="27E7668B" w14:textId="44313922" w:rsidR="009917A4" w:rsidRDefault="009917A4" w:rsidP="00A92280">
            <w:pPr>
              <w:pStyle w:val="BodyText"/>
              <w:spacing w:after="0"/>
              <w:rPr>
                <w:rFonts w:eastAsia="Times New Roman"/>
                <w:b/>
                <w:sz w:val="20"/>
                <w:szCs w:val="20"/>
              </w:rPr>
            </w:pPr>
            <w:r w:rsidRPr="000B29D0">
              <w:rPr>
                <w:rFonts w:eastAsia="Times New Roman"/>
                <w:b/>
                <w:sz w:val="20"/>
                <w:szCs w:val="20"/>
              </w:rPr>
              <w:t xml:space="preserve">Treatment option </w:t>
            </w:r>
            <w:r>
              <w:rPr>
                <w:rFonts w:eastAsia="Times New Roman"/>
                <w:b/>
                <w:sz w:val="20"/>
                <w:szCs w:val="20"/>
              </w:rPr>
              <w:t>202</w:t>
            </w:r>
            <w:r w:rsidR="00C3736F">
              <w:rPr>
                <w:rFonts w:eastAsia="Times New Roman"/>
                <w:b/>
                <w:sz w:val="20"/>
                <w:szCs w:val="20"/>
              </w:rPr>
              <w:t>1</w:t>
            </w:r>
            <w:r w:rsidRPr="000B29D0">
              <w:rPr>
                <w:rFonts w:eastAsia="Times New Roman"/>
                <w:b/>
                <w:sz w:val="20"/>
                <w:szCs w:val="20"/>
              </w:rPr>
              <w:t>/0</w:t>
            </w:r>
            <w:r w:rsidR="008A2A89">
              <w:rPr>
                <w:rFonts w:eastAsia="Times New Roman"/>
                <w:b/>
                <w:sz w:val="20"/>
                <w:szCs w:val="20"/>
              </w:rPr>
              <w:t>6</w:t>
            </w:r>
            <w:r w:rsidRPr="000B29D0">
              <w:rPr>
                <w:rFonts w:eastAsia="Times New Roman"/>
                <w:b/>
                <w:sz w:val="20"/>
                <w:szCs w:val="20"/>
              </w:rPr>
              <w:t>/</w:t>
            </w:r>
            <w:r>
              <w:rPr>
                <w:rFonts w:eastAsia="Times New Roman"/>
                <w:b/>
                <w:sz w:val="20"/>
                <w:szCs w:val="20"/>
              </w:rPr>
              <w:t>A</w:t>
            </w:r>
            <w:r w:rsidRPr="000B29D0">
              <w:rPr>
                <w:rFonts w:eastAsia="Times New Roman"/>
                <w:b/>
                <w:sz w:val="20"/>
                <w:szCs w:val="20"/>
              </w:rPr>
              <w:t xml:space="preserve">: </w:t>
            </w:r>
            <w:r w:rsidR="00793463">
              <w:rPr>
                <w:rFonts w:eastAsia="Times New Roman"/>
                <w:b/>
                <w:sz w:val="20"/>
                <w:szCs w:val="20"/>
              </w:rPr>
              <w:t>Red</w:t>
            </w:r>
            <w:r>
              <w:rPr>
                <w:rFonts w:eastAsia="Times New Roman"/>
                <w:b/>
                <w:sz w:val="20"/>
                <w:szCs w:val="20"/>
              </w:rPr>
              <w:t xml:space="preserve">evelop </w:t>
            </w:r>
            <w:r w:rsidR="00BA0E5C">
              <w:rPr>
                <w:rFonts w:eastAsia="Times New Roman"/>
                <w:b/>
                <w:sz w:val="20"/>
                <w:szCs w:val="20"/>
              </w:rPr>
              <w:t>nationally significant SAR framework</w:t>
            </w:r>
            <w:r>
              <w:rPr>
                <w:rFonts w:eastAsia="Times New Roman"/>
                <w:b/>
                <w:sz w:val="20"/>
                <w:szCs w:val="20"/>
              </w:rPr>
              <w:t>.</w:t>
            </w:r>
          </w:p>
          <w:p w14:paraId="41BF0B7B" w14:textId="77777777" w:rsidR="00BA0E5C" w:rsidRDefault="00BA0E5C" w:rsidP="00A92280">
            <w:pPr>
              <w:pStyle w:val="BodyText"/>
              <w:spacing w:after="0"/>
              <w:rPr>
                <w:rFonts w:eastAsia="Times New Roman"/>
                <w:b/>
                <w:sz w:val="20"/>
                <w:szCs w:val="20"/>
              </w:rPr>
            </w:pPr>
          </w:p>
          <w:p w14:paraId="7355A016" w14:textId="4AED166A" w:rsidR="009917A4" w:rsidRPr="009441E2" w:rsidRDefault="009917A4" w:rsidP="00A92280">
            <w:pPr>
              <w:pStyle w:val="BodyText"/>
              <w:spacing w:after="0"/>
              <w:rPr>
                <w:rFonts w:eastAsia="Times New Roman"/>
                <w:sz w:val="20"/>
                <w:szCs w:val="20"/>
              </w:rPr>
            </w:pPr>
            <w:r w:rsidRPr="003F7BFF">
              <w:rPr>
                <w:rFonts w:eastAsia="Times New Roman"/>
                <w:sz w:val="20"/>
                <w:szCs w:val="20"/>
              </w:rPr>
              <w:t xml:space="preserve">In conjunction with partner agencies, </w:t>
            </w:r>
            <w:r w:rsidR="00793463">
              <w:rPr>
                <w:rFonts w:eastAsia="Times New Roman"/>
                <w:sz w:val="20"/>
                <w:szCs w:val="20"/>
              </w:rPr>
              <w:t>re</w:t>
            </w:r>
            <w:r w:rsidRPr="003F7BFF">
              <w:rPr>
                <w:rFonts w:eastAsia="Times New Roman"/>
                <w:sz w:val="20"/>
                <w:szCs w:val="20"/>
              </w:rPr>
              <w:t xml:space="preserve">develop appropriate </w:t>
            </w:r>
            <w:r w:rsidR="00793463">
              <w:rPr>
                <w:rFonts w:eastAsia="Times New Roman"/>
                <w:sz w:val="20"/>
                <w:szCs w:val="20"/>
              </w:rPr>
              <w:t xml:space="preserve">nationally significant </w:t>
            </w:r>
            <w:r>
              <w:rPr>
                <w:rFonts w:eastAsia="Times New Roman"/>
                <w:sz w:val="20"/>
                <w:szCs w:val="20"/>
              </w:rPr>
              <w:t xml:space="preserve">search and rescue </w:t>
            </w:r>
            <w:r w:rsidR="00DD3830">
              <w:rPr>
                <w:rFonts w:eastAsia="Times New Roman"/>
                <w:sz w:val="20"/>
                <w:szCs w:val="20"/>
              </w:rPr>
              <w:t xml:space="preserve">frameworks, </w:t>
            </w:r>
            <w:r w:rsidRPr="003F7BFF">
              <w:rPr>
                <w:rFonts w:eastAsia="Times New Roman"/>
                <w:sz w:val="20"/>
                <w:szCs w:val="20"/>
              </w:rPr>
              <w:t>policies</w:t>
            </w:r>
            <w:r>
              <w:rPr>
                <w:rFonts w:eastAsia="Times New Roman"/>
                <w:sz w:val="20"/>
                <w:szCs w:val="20"/>
              </w:rPr>
              <w:t xml:space="preserve">, </w:t>
            </w:r>
            <w:r w:rsidRPr="003F7BFF">
              <w:rPr>
                <w:rFonts w:eastAsia="Times New Roman"/>
                <w:sz w:val="20"/>
                <w:szCs w:val="20"/>
              </w:rPr>
              <w:t>plans</w:t>
            </w:r>
            <w:r>
              <w:rPr>
                <w:rFonts w:eastAsia="Times New Roman"/>
                <w:sz w:val="20"/>
                <w:szCs w:val="20"/>
              </w:rPr>
              <w:t xml:space="preserve"> and procedures</w:t>
            </w:r>
            <w:r w:rsidRPr="003F7BFF">
              <w:rPr>
                <w:rFonts w:eastAsia="Times New Roman"/>
                <w:sz w:val="20"/>
                <w:szCs w:val="20"/>
              </w:rPr>
              <w:t xml:space="preserve">.  </w:t>
            </w:r>
            <w:r w:rsidR="00793463">
              <w:rPr>
                <w:rFonts w:eastAsia="Times New Roman"/>
                <w:sz w:val="20"/>
                <w:szCs w:val="20"/>
              </w:rPr>
              <w:t>Harmonise with existing system documentation.</w:t>
            </w:r>
          </w:p>
        </w:tc>
        <w:tc>
          <w:tcPr>
            <w:tcW w:w="714" w:type="dxa"/>
            <w:tcBorders>
              <w:top w:val="single" w:sz="24" w:space="0" w:color="auto"/>
            </w:tcBorders>
            <w:shd w:val="clear" w:color="auto" w:fill="FFFF00"/>
            <w:textDirection w:val="btLr"/>
            <w:vAlign w:val="center"/>
          </w:tcPr>
          <w:p w14:paraId="36EB51AC" w14:textId="77777777" w:rsidR="009917A4" w:rsidRDefault="009917A4" w:rsidP="00A92280">
            <w:pPr>
              <w:pStyle w:val="BodyText"/>
              <w:spacing w:after="0"/>
              <w:ind w:left="113" w:right="113"/>
              <w:jc w:val="center"/>
              <w:rPr>
                <w:rFonts w:eastAsia="Times New Roman"/>
                <w:sz w:val="20"/>
                <w:szCs w:val="20"/>
              </w:rPr>
            </w:pPr>
            <w:r>
              <w:rPr>
                <w:rFonts w:eastAsia="Times New Roman"/>
                <w:sz w:val="20"/>
                <w:szCs w:val="20"/>
              </w:rPr>
              <w:t>Partial</w:t>
            </w:r>
          </w:p>
        </w:tc>
        <w:tc>
          <w:tcPr>
            <w:tcW w:w="854" w:type="dxa"/>
            <w:tcBorders>
              <w:top w:val="single" w:sz="24" w:space="0" w:color="auto"/>
            </w:tcBorders>
            <w:shd w:val="clear" w:color="auto" w:fill="FFFF00"/>
            <w:textDirection w:val="btLr"/>
            <w:vAlign w:val="center"/>
          </w:tcPr>
          <w:p w14:paraId="7CA8F9B0" w14:textId="1E7EB3FF" w:rsidR="009917A4" w:rsidRPr="009441E2" w:rsidRDefault="00DD3830" w:rsidP="00A92280">
            <w:pPr>
              <w:pStyle w:val="BodyText"/>
              <w:spacing w:after="0"/>
              <w:ind w:left="57" w:right="57"/>
              <w:jc w:val="center"/>
              <w:rPr>
                <w:rFonts w:eastAsia="Times New Roman"/>
                <w:sz w:val="20"/>
                <w:szCs w:val="20"/>
              </w:rPr>
            </w:pPr>
            <w:r>
              <w:rPr>
                <w:rFonts w:eastAsia="Times New Roman"/>
                <w:sz w:val="20"/>
                <w:szCs w:val="20"/>
              </w:rPr>
              <w:t>202</w:t>
            </w:r>
            <w:r w:rsidR="004D4376">
              <w:rPr>
                <w:rFonts w:eastAsia="Times New Roman"/>
                <w:sz w:val="20"/>
                <w:szCs w:val="20"/>
              </w:rPr>
              <w:t>1</w:t>
            </w:r>
          </w:p>
        </w:tc>
        <w:tc>
          <w:tcPr>
            <w:tcW w:w="3260" w:type="dxa"/>
            <w:tcBorders>
              <w:top w:val="single" w:sz="24" w:space="0" w:color="auto"/>
            </w:tcBorders>
          </w:tcPr>
          <w:p w14:paraId="797FDCB4" w14:textId="560D5B43" w:rsidR="009917A4" w:rsidRPr="00793463" w:rsidRDefault="009917A4" w:rsidP="00A92280">
            <w:pPr>
              <w:spacing w:after="120"/>
              <w:rPr>
                <w:rFonts w:eastAsia="Times New Roman"/>
                <w:color w:val="000000" w:themeColor="text1"/>
                <w:sz w:val="20"/>
                <w:szCs w:val="20"/>
              </w:rPr>
            </w:pPr>
            <w:r w:rsidRPr="00793463">
              <w:rPr>
                <w:rFonts w:eastAsia="Times New Roman"/>
                <w:color w:val="000000" w:themeColor="text1"/>
                <w:sz w:val="20"/>
                <w:szCs w:val="20"/>
              </w:rPr>
              <w:t>De</w:t>
            </w:r>
            <w:r w:rsidR="00DD3830" w:rsidRPr="00793463">
              <w:rPr>
                <w:rFonts w:eastAsia="Times New Roman"/>
                <w:color w:val="000000" w:themeColor="text1"/>
                <w:sz w:val="20"/>
                <w:szCs w:val="20"/>
              </w:rPr>
              <w:t>velopment of an agreed Nationally Significant SAR framework planned for 202</w:t>
            </w:r>
            <w:r w:rsidR="00C3736F" w:rsidRPr="00793463">
              <w:rPr>
                <w:rFonts w:eastAsia="Times New Roman"/>
                <w:color w:val="000000" w:themeColor="text1"/>
                <w:sz w:val="20"/>
                <w:szCs w:val="20"/>
              </w:rPr>
              <w:t>1</w:t>
            </w:r>
            <w:r w:rsidR="00DD3830" w:rsidRPr="00793463">
              <w:rPr>
                <w:rFonts w:eastAsia="Times New Roman"/>
                <w:color w:val="000000" w:themeColor="text1"/>
                <w:sz w:val="20"/>
                <w:szCs w:val="20"/>
              </w:rPr>
              <w:t xml:space="preserve">. </w:t>
            </w:r>
            <w:r w:rsidRPr="00793463">
              <w:rPr>
                <w:rFonts w:eastAsia="Times New Roman"/>
                <w:color w:val="000000" w:themeColor="text1"/>
                <w:sz w:val="20"/>
                <w:szCs w:val="20"/>
              </w:rPr>
              <w:t>M</w:t>
            </w:r>
            <w:r w:rsidR="00DD3830" w:rsidRPr="00793463">
              <w:rPr>
                <w:rFonts w:eastAsia="Times New Roman"/>
                <w:color w:val="000000" w:themeColor="text1"/>
                <w:sz w:val="20"/>
                <w:szCs w:val="20"/>
              </w:rPr>
              <w:t>o</w:t>
            </w:r>
            <w:r w:rsidRPr="00793463">
              <w:rPr>
                <w:rFonts w:eastAsia="Times New Roman"/>
                <w:color w:val="000000" w:themeColor="text1"/>
                <w:sz w:val="20"/>
                <w:szCs w:val="20"/>
              </w:rPr>
              <w:t xml:space="preserve">T Major Transport Incident Framework </w:t>
            </w:r>
            <w:r w:rsidR="00DD3830" w:rsidRPr="00793463">
              <w:rPr>
                <w:rFonts w:eastAsia="Times New Roman"/>
                <w:color w:val="000000" w:themeColor="text1"/>
                <w:sz w:val="20"/>
                <w:szCs w:val="20"/>
              </w:rPr>
              <w:t>also under development.</w:t>
            </w:r>
            <w:r w:rsidRPr="00793463">
              <w:rPr>
                <w:rFonts w:eastAsia="Times New Roman"/>
                <w:color w:val="000000" w:themeColor="text1"/>
                <w:sz w:val="20"/>
                <w:szCs w:val="20"/>
              </w:rPr>
              <w:t xml:space="preserve"> </w:t>
            </w:r>
          </w:p>
        </w:tc>
      </w:tr>
      <w:tr w:rsidR="009917A4" w:rsidRPr="009441E2" w14:paraId="6D059832" w14:textId="77777777" w:rsidTr="00BA0E5C">
        <w:trPr>
          <w:cantSplit/>
          <w:trHeight w:val="1491"/>
        </w:trPr>
        <w:tc>
          <w:tcPr>
            <w:tcW w:w="985" w:type="dxa"/>
            <w:vMerge/>
          </w:tcPr>
          <w:p w14:paraId="5732412C" w14:textId="77777777" w:rsidR="009917A4" w:rsidRDefault="009917A4" w:rsidP="00A92280">
            <w:pPr>
              <w:pStyle w:val="BodyText"/>
              <w:spacing w:after="0"/>
              <w:rPr>
                <w:rFonts w:eastAsia="Times New Roman"/>
                <w:sz w:val="20"/>
                <w:szCs w:val="20"/>
              </w:rPr>
            </w:pPr>
          </w:p>
        </w:tc>
        <w:tc>
          <w:tcPr>
            <w:tcW w:w="1701" w:type="dxa"/>
            <w:vMerge/>
          </w:tcPr>
          <w:p w14:paraId="3DFB09A7" w14:textId="77777777" w:rsidR="009917A4" w:rsidRPr="005525C8" w:rsidRDefault="009917A4" w:rsidP="00A92280">
            <w:pPr>
              <w:pStyle w:val="BodyText"/>
              <w:spacing w:after="0"/>
              <w:rPr>
                <w:rFonts w:eastAsia="Times New Roman"/>
                <w:b/>
                <w:sz w:val="20"/>
                <w:szCs w:val="20"/>
              </w:rPr>
            </w:pPr>
          </w:p>
        </w:tc>
        <w:tc>
          <w:tcPr>
            <w:tcW w:w="4240" w:type="dxa"/>
            <w:vMerge/>
          </w:tcPr>
          <w:p w14:paraId="62AE2F3F" w14:textId="77777777" w:rsidR="009917A4" w:rsidRDefault="009917A4" w:rsidP="00A92280">
            <w:pPr>
              <w:pStyle w:val="BodyText"/>
              <w:spacing w:after="0"/>
              <w:rPr>
                <w:rFonts w:eastAsia="Times New Roman"/>
                <w:sz w:val="20"/>
                <w:szCs w:val="20"/>
              </w:rPr>
            </w:pPr>
          </w:p>
        </w:tc>
        <w:tc>
          <w:tcPr>
            <w:tcW w:w="3546" w:type="dxa"/>
            <w:vMerge/>
          </w:tcPr>
          <w:p w14:paraId="4F576D16" w14:textId="77777777" w:rsidR="009917A4" w:rsidRDefault="009917A4" w:rsidP="00A92280">
            <w:pPr>
              <w:pStyle w:val="BodyTextIndentBullet"/>
              <w:spacing w:before="0"/>
              <w:ind w:left="0" w:firstLine="0"/>
              <w:rPr>
                <w:szCs w:val="20"/>
              </w:rPr>
            </w:pPr>
          </w:p>
        </w:tc>
        <w:tc>
          <w:tcPr>
            <w:tcW w:w="428" w:type="dxa"/>
            <w:vMerge/>
            <w:textDirection w:val="btLr"/>
            <w:vAlign w:val="center"/>
          </w:tcPr>
          <w:p w14:paraId="6800BFBA" w14:textId="77777777" w:rsidR="009917A4" w:rsidRDefault="009917A4" w:rsidP="00A92280">
            <w:pPr>
              <w:pStyle w:val="BodyText"/>
              <w:spacing w:after="0"/>
              <w:jc w:val="center"/>
              <w:rPr>
                <w:rFonts w:eastAsia="Times New Roman"/>
                <w:sz w:val="20"/>
                <w:szCs w:val="20"/>
              </w:rPr>
            </w:pPr>
          </w:p>
        </w:tc>
        <w:tc>
          <w:tcPr>
            <w:tcW w:w="429" w:type="dxa"/>
            <w:vMerge/>
            <w:textDirection w:val="btLr"/>
            <w:vAlign w:val="center"/>
          </w:tcPr>
          <w:p w14:paraId="7FC8417F" w14:textId="77777777" w:rsidR="009917A4" w:rsidRDefault="009917A4" w:rsidP="00A92280">
            <w:pPr>
              <w:pStyle w:val="BodyText"/>
              <w:spacing w:after="0"/>
              <w:jc w:val="center"/>
              <w:rPr>
                <w:rFonts w:eastAsia="Times New Roman"/>
                <w:sz w:val="20"/>
                <w:szCs w:val="20"/>
              </w:rPr>
            </w:pPr>
          </w:p>
        </w:tc>
        <w:tc>
          <w:tcPr>
            <w:tcW w:w="856" w:type="dxa"/>
            <w:shd w:val="clear" w:color="auto" w:fill="FFFF00"/>
            <w:textDirection w:val="btLr"/>
            <w:vAlign w:val="center"/>
          </w:tcPr>
          <w:p w14:paraId="408599CD" w14:textId="75F38003" w:rsidR="009917A4" w:rsidRPr="00FD28C8" w:rsidRDefault="009917A4" w:rsidP="00A92280">
            <w:pPr>
              <w:pStyle w:val="BodyText"/>
              <w:spacing w:after="0"/>
              <w:jc w:val="center"/>
              <w:rPr>
                <w:rFonts w:eastAsia="Times New Roman"/>
                <w:sz w:val="20"/>
                <w:szCs w:val="20"/>
              </w:rPr>
            </w:pPr>
            <w:r w:rsidRPr="00FD28C8">
              <w:rPr>
                <w:sz w:val="20"/>
              </w:rPr>
              <w:t>(</w:t>
            </w:r>
            <w:r w:rsidR="00793463">
              <w:rPr>
                <w:sz w:val="20"/>
              </w:rPr>
              <w:t>Sep 21</w:t>
            </w:r>
            <w:r w:rsidRPr="00FD28C8">
              <w:rPr>
                <w:sz w:val="20"/>
              </w:rPr>
              <w:t>)</w:t>
            </w:r>
          </w:p>
        </w:tc>
        <w:tc>
          <w:tcPr>
            <w:tcW w:w="5384" w:type="dxa"/>
          </w:tcPr>
          <w:p w14:paraId="606A2044" w14:textId="3CDEF031" w:rsidR="009917A4" w:rsidRDefault="009917A4" w:rsidP="00A92280">
            <w:pPr>
              <w:pStyle w:val="BodyText"/>
              <w:spacing w:after="0"/>
              <w:rPr>
                <w:rFonts w:eastAsia="Times New Roman"/>
                <w:b/>
                <w:sz w:val="20"/>
                <w:szCs w:val="20"/>
              </w:rPr>
            </w:pPr>
            <w:r w:rsidRPr="000B29D0">
              <w:rPr>
                <w:rFonts w:eastAsia="Times New Roman"/>
                <w:b/>
                <w:sz w:val="20"/>
                <w:szCs w:val="20"/>
              </w:rPr>
              <w:t xml:space="preserve">Treatment option </w:t>
            </w:r>
            <w:r>
              <w:rPr>
                <w:rFonts w:eastAsia="Times New Roman"/>
                <w:b/>
                <w:sz w:val="20"/>
                <w:szCs w:val="20"/>
              </w:rPr>
              <w:t>202</w:t>
            </w:r>
            <w:r w:rsidR="00C3736F">
              <w:rPr>
                <w:rFonts w:eastAsia="Times New Roman"/>
                <w:b/>
                <w:sz w:val="20"/>
                <w:szCs w:val="20"/>
              </w:rPr>
              <w:t>1</w:t>
            </w:r>
            <w:r w:rsidRPr="000B29D0">
              <w:rPr>
                <w:rFonts w:eastAsia="Times New Roman"/>
                <w:b/>
                <w:sz w:val="20"/>
                <w:szCs w:val="20"/>
              </w:rPr>
              <w:t>/0</w:t>
            </w:r>
            <w:r w:rsidR="008A2A89">
              <w:rPr>
                <w:rFonts w:eastAsia="Times New Roman"/>
                <w:b/>
                <w:sz w:val="20"/>
                <w:szCs w:val="20"/>
              </w:rPr>
              <w:t>6</w:t>
            </w:r>
            <w:r w:rsidRPr="000B29D0">
              <w:rPr>
                <w:rFonts w:eastAsia="Times New Roman"/>
                <w:b/>
                <w:sz w:val="20"/>
                <w:szCs w:val="20"/>
              </w:rPr>
              <w:t>/</w:t>
            </w:r>
            <w:r>
              <w:rPr>
                <w:rFonts w:eastAsia="Times New Roman"/>
                <w:b/>
                <w:sz w:val="20"/>
                <w:szCs w:val="20"/>
              </w:rPr>
              <w:t>B</w:t>
            </w:r>
            <w:r w:rsidRPr="000B29D0">
              <w:rPr>
                <w:rFonts w:eastAsia="Times New Roman"/>
                <w:b/>
                <w:sz w:val="20"/>
                <w:szCs w:val="20"/>
              </w:rPr>
              <w:t>:</w:t>
            </w:r>
            <w:r>
              <w:rPr>
                <w:rFonts w:eastAsia="Times New Roman"/>
                <w:b/>
                <w:sz w:val="20"/>
                <w:szCs w:val="20"/>
              </w:rPr>
              <w:t xml:space="preserve"> Conduct </w:t>
            </w:r>
            <w:r w:rsidR="00DD3830">
              <w:rPr>
                <w:rFonts w:eastAsia="Times New Roman"/>
                <w:b/>
                <w:sz w:val="20"/>
                <w:szCs w:val="20"/>
              </w:rPr>
              <w:t xml:space="preserve">nationally significant SAR </w:t>
            </w:r>
            <w:r w:rsidR="00BA0E5C">
              <w:rPr>
                <w:rFonts w:eastAsia="Times New Roman"/>
                <w:b/>
                <w:sz w:val="20"/>
                <w:szCs w:val="20"/>
              </w:rPr>
              <w:t>e</w:t>
            </w:r>
            <w:r w:rsidR="00DD3830">
              <w:rPr>
                <w:rFonts w:eastAsia="Times New Roman"/>
                <w:b/>
                <w:sz w:val="20"/>
                <w:szCs w:val="20"/>
              </w:rPr>
              <w:t>x</w:t>
            </w:r>
            <w:r w:rsidR="00BA0E5C">
              <w:rPr>
                <w:rFonts w:eastAsia="Times New Roman"/>
                <w:b/>
                <w:sz w:val="20"/>
                <w:szCs w:val="20"/>
              </w:rPr>
              <w:t>ercises</w:t>
            </w:r>
            <w:r w:rsidR="00DD3830">
              <w:rPr>
                <w:rFonts w:eastAsia="Times New Roman"/>
                <w:b/>
                <w:sz w:val="20"/>
                <w:szCs w:val="20"/>
              </w:rPr>
              <w:t xml:space="preserve"> </w:t>
            </w:r>
            <w:r w:rsidR="00BA0E5C">
              <w:rPr>
                <w:rFonts w:eastAsia="Times New Roman"/>
                <w:b/>
                <w:sz w:val="20"/>
                <w:szCs w:val="20"/>
              </w:rPr>
              <w:t>(</w:t>
            </w:r>
            <w:r>
              <w:rPr>
                <w:rFonts w:eastAsia="Times New Roman"/>
                <w:b/>
                <w:sz w:val="20"/>
                <w:szCs w:val="20"/>
              </w:rPr>
              <w:t>mass rescue /abnormal flight</w:t>
            </w:r>
            <w:r w:rsidR="00BA0E5C">
              <w:rPr>
                <w:rFonts w:eastAsia="Times New Roman"/>
                <w:b/>
                <w:sz w:val="20"/>
                <w:szCs w:val="20"/>
              </w:rPr>
              <w:t>, etc)</w:t>
            </w:r>
            <w:r>
              <w:rPr>
                <w:rFonts w:eastAsia="Times New Roman"/>
                <w:b/>
                <w:sz w:val="20"/>
                <w:szCs w:val="20"/>
              </w:rPr>
              <w:t>.</w:t>
            </w:r>
          </w:p>
          <w:p w14:paraId="79BFAC2D" w14:textId="77777777" w:rsidR="00BA0E5C" w:rsidRDefault="00BA0E5C" w:rsidP="00A92280">
            <w:pPr>
              <w:pStyle w:val="BodyText"/>
              <w:spacing w:after="0"/>
              <w:rPr>
                <w:rFonts w:eastAsia="Times New Roman"/>
                <w:b/>
                <w:sz w:val="20"/>
                <w:szCs w:val="20"/>
              </w:rPr>
            </w:pPr>
          </w:p>
          <w:p w14:paraId="6264C5E4" w14:textId="684FB885" w:rsidR="009917A4" w:rsidRPr="009A38B8" w:rsidRDefault="009917A4" w:rsidP="00A92280">
            <w:pPr>
              <w:pStyle w:val="BodyText"/>
              <w:spacing w:after="0"/>
              <w:rPr>
                <w:rFonts w:eastAsia="Times New Roman"/>
                <w:sz w:val="20"/>
                <w:szCs w:val="20"/>
              </w:rPr>
            </w:pPr>
            <w:r w:rsidRPr="000B29D0">
              <w:rPr>
                <w:rFonts w:eastAsia="Times New Roman"/>
                <w:b/>
                <w:sz w:val="20"/>
                <w:szCs w:val="20"/>
              </w:rPr>
              <w:t xml:space="preserve"> </w:t>
            </w:r>
            <w:r w:rsidRPr="00BB3FAA">
              <w:rPr>
                <w:rFonts w:eastAsia="Times New Roman"/>
                <w:sz w:val="20"/>
                <w:szCs w:val="20"/>
              </w:rPr>
              <w:t>In conjunction with partner</w:t>
            </w:r>
            <w:r>
              <w:rPr>
                <w:rFonts w:eastAsia="Times New Roman"/>
                <w:sz w:val="20"/>
                <w:szCs w:val="20"/>
              </w:rPr>
              <w:t xml:space="preserve"> agencies, e</w:t>
            </w:r>
            <w:r w:rsidRPr="003F7BFF">
              <w:rPr>
                <w:rFonts w:eastAsia="Times New Roman"/>
                <w:sz w:val="20"/>
                <w:szCs w:val="20"/>
              </w:rPr>
              <w:t xml:space="preserve">xercise the </w:t>
            </w:r>
            <w:r>
              <w:rPr>
                <w:rFonts w:eastAsia="Times New Roman"/>
                <w:sz w:val="20"/>
                <w:szCs w:val="20"/>
              </w:rPr>
              <w:t xml:space="preserve">relevant plans regularly </w:t>
            </w:r>
            <w:proofErr w:type="gramStart"/>
            <w:r>
              <w:rPr>
                <w:rFonts w:eastAsia="Times New Roman"/>
                <w:sz w:val="20"/>
                <w:szCs w:val="20"/>
              </w:rPr>
              <w:t>in order to</w:t>
            </w:r>
            <w:proofErr w:type="gramEnd"/>
            <w:r>
              <w:rPr>
                <w:rFonts w:eastAsia="Times New Roman"/>
                <w:sz w:val="20"/>
                <w:szCs w:val="20"/>
              </w:rPr>
              <w:t xml:space="preserve"> practise, </w:t>
            </w:r>
            <w:r w:rsidRPr="003F7BFF">
              <w:rPr>
                <w:rFonts w:eastAsia="Times New Roman"/>
                <w:sz w:val="20"/>
                <w:szCs w:val="20"/>
              </w:rPr>
              <w:t>validate and refine them.</w:t>
            </w:r>
            <w:r>
              <w:rPr>
                <w:rFonts w:eastAsia="Times New Roman"/>
                <w:sz w:val="20"/>
                <w:szCs w:val="20"/>
              </w:rPr>
              <w:t xml:space="preserve"> (see also risk treatment 20</w:t>
            </w:r>
            <w:r w:rsidR="00DD3830">
              <w:rPr>
                <w:rFonts w:eastAsia="Times New Roman"/>
                <w:sz w:val="20"/>
                <w:szCs w:val="20"/>
              </w:rPr>
              <w:t>2</w:t>
            </w:r>
            <w:r w:rsidR="004D4376">
              <w:rPr>
                <w:rFonts w:eastAsia="Times New Roman"/>
                <w:sz w:val="20"/>
                <w:szCs w:val="20"/>
              </w:rPr>
              <w:t>1</w:t>
            </w:r>
            <w:r>
              <w:rPr>
                <w:rFonts w:eastAsia="Times New Roman"/>
                <w:sz w:val="20"/>
                <w:szCs w:val="20"/>
              </w:rPr>
              <w:t>/0</w:t>
            </w:r>
            <w:r w:rsidR="00DD3830">
              <w:rPr>
                <w:rFonts w:eastAsia="Times New Roman"/>
                <w:sz w:val="20"/>
                <w:szCs w:val="20"/>
              </w:rPr>
              <w:t>4/C</w:t>
            </w:r>
            <w:r>
              <w:rPr>
                <w:rFonts w:eastAsia="Times New Roman"/>
                <w:sz w:val="20"/>
                <w:szCs w:val="20"/>
              </w:rPr>
              <w:t xml:space="preserve">).  Standard exercises should be at the crawl, walk levels with occasional run level exercises as resources allow. </w:t>
            </w:r>
          </w:p>
        </w:tc>
        <w:tc>
          <w:tcPr>
            <w:tcW w:w="714" w:type="dxa"/>
            <w:shd w:val="clear" w:color="auto" w:fill="00B050"/>
            <w:textDirection w:val="btLr"/>
            <w:vAlign w:val="center"/>
          </w:tcPr>
          <w:p w14:paraId="4F0898F7" w14:textId="77777777" w:rsidR="009917A4" w:rsidRDefault="009917A4" w:rsidP="00A92280">
            <w:pPr>
              <w:pStyle w:val="BodyText"/>
              <w:spacing w:after="0"/>
              <w:ind w:left="113" w:right="113"/>
              <w:jc w:val="center"/>
              <w:rPr>
                <w:rFonts w:eastAsia="Times New Roman"/>
                <w:sz w:val="20"/>
                <w:szCs w:val="20"/>
              </w:rPr>
            </w:pPr>
            <w:r>
              <w:rPr>
                <w:rFonts w:eastAsia="Times New Roman"/>
                <w:sz w:val="20"/>
                <w:szCs w:val="20"/>
              </w:rPr>
              <w:t>Partial</w:t>
            </w:r>
          </w:p>
        </w:tc>
        <w:tc>
          <w:tcPr>
            <w:tcW w:w="854" w:type="dxa"/>
            <w:shd w:val="clear" w:color="auto" w:fill="00B050"/>
            <w:textDirection w:val="btLr"/>
            <w:vAlign w:val="center"/>
          </w:tcPr>
          <w:p w14:paraId="17E10D1B" w14:textId="77777777" w:rsidR="009917A4" w:rsidRPr="009441E2" w:rsidRDefault="009917A4" w:rsidP="00A92280">
            <w:pPr>
              <w:pStyle w:val="BodyText"/>
              <w:spacing w:after="0"/>
              <w:ind w:left="57" w:right="57"/>
              <w:jc w:val="center"/>
              <w:rPr>
                <w:rFonts w:eastAsia="Times New Roman"/>
                <w:sz w:val="20"/>
                <w:szCs w:val="20"/>
              </w:rPr>
            </w:pPr>
            <w:r>
              <w:rPr>
                <w:rFonts w:eastAsia="Times New Roman"/>
                <w:sz w:val="20"/>
                <w:szCs w:val="20"/>
              </w:rPr>
              <w:t>Rauora Exercises ongoing</w:t>
            </w:r>
          </w:p>
        </w:tc>
        <w:tc>
          <w:tcPr>
            <w:tcW w:w="3260" w:type="dxa"/>
          </w:tcPr>
          <w:p w14:paraId="2FC08253" w14:textId="1045B1FC" w:rsidR="009917A4" w:rsidRPr="00793463" w:rsidRDefault="009917A4" w:rsidP="00A92280">
            <w:pPr>
              <w:pStyle w:val="BodyText"/>
              <w:spacing w:after="0"/>
              <w:rPr>
                <w:rFonts w:eastAsia="Times New Roman"/>
                <w:color w:val="000000" w:themeColor="text1"/>
                <w:sz w:val="20"/>
                <w:szCs w:val="20"/>
              </w:rPr>
            </w:pPr>
            <w:r w:rsidRPr="00793463">
              <w:rPr>
                <w:rFonts w:eastAsia="Times New Roman"/>
                <w:color w:val="000000" w:themeColor="text1"/>
                <w:sz w:val="20"/>
                <w:szCs w:val="20"/>
              </w:rPr>
              <w:t xml:space="preserve">Completion of a </w:t>
            </w:r>
            <w:r w:rsidR="00C3736F" w:rsidRPr="00793463">
              <w:rPr>
                <w:rFonts w:eastAsia="Times New Roman"/>
                <w:color w:val="000000" w:themeColor="text1"/>
                <w:sz w:val="20"/>
                <w:szCs w:val="20"/>
              </w:rPr>
              <w:t xml:space="preserve">NEP </w:t>
            </w:r>
            <w:r w:rsidRPr="00793463">
              <w:rPr>
                <w:rFonts w:eastAsia="Times New Roman"/>
                <w:color w:val="000000" w:themeColor="text1"/>
                <w:sz w:val="20"/>
                <w:szCs w:val="20"/>
              </w:rPr>
              <w:t xml:space="preserve">run level exercise </w:t>
            </w:r>
            <w:r w:rsidR="00C3736F" w:rsidRPr="00793463">
              <w:rPr>
                <w:rFonts w:eastAsia="Times New Roman"/>
                <w:color w:val="000000" w:themeColor="text1"/>
                <w:sz w:val="20"/>
                <w:szCs w:val="20"/>
              </w:rPr>
              <w:t xml:space="preserve">postponed to </w:t>
            </w:r>
            <w:r w:rsidRPr="00793463">
              <w:rPr>
                <w:rFonts w:eastAsia="Times New Roman"/>
                <w:color w:val="000000" w:themeColor="text1"/>
                <w:sz w:val="20"/>
                <w:szCs w:val="20"/>
              </w:rPr>
              <w:t>202</w:t>
            </w:r>
            <w:r w:rsidR="00C3736F" w:rsidRPr="00793463">
              <w:rPr>
                <w:rFonts w:eastAsia="Times New Roman"/>
                <w:color w:val="000000" w:themeColor="text1"/>
                <w:sz w:val="20"/>
                <w:szCs w:val="20"/>
              </w:rPr>
              <w:t>2</w:t>
            </w:r>
            <w:r w:rsidRPr="00793463">
              <w:rPr>
                <w:rFonts w:eastAsia="Times New Roman"/>
                <w:color w:val="000000" w:themeColor="text1"/>
                <w:sz w:val="20"/>
                <w:szCs w:val="20"/>
              </w:rPr>
              <w:t>/2</w:t>
            </w:r>
            <w:r w:rsidR="00C3736F" w:rsidRPr="00793463">
              <w:rPr>
                <w:rFonts w:eastAsia="Times New Roman"/>
                <w:color w:val="000000" w:themeColor="text1"/>
                <w:sz w:val="20"/>
                <w:szCs w:val="20"/>
              </w:rPr>
              <w:t>3</w:t>
            </w:r>
            <w:r w:rsidRPr="00793463">
              <w:rPr>
                <w:rFonts w:eastAsia="Times New Roman"/>
                <w:color w:val="000000" w:themeColor="text1"/>
                <w:sz w:val="20"/>
                <w:szCs w:val="20"/>
              </w:rPr>
              <w:t>.</w:t>
            </w:r>
          </w:p>
          <w:p w14:paraId="075488DE" w14:textId="77777777" w:rsidR="009917A4" w:rsidRPr="00793463" w:rsidRDefault="009917A4" w:rsidP="00A92280">
            <w:pPr>
              <w:pStyle w:val="BodyText"/>
              <w:spacing w:after="0"/>
              <w:rPr>
                <w:rFonts w:eastAsia="Times New Roman"/>
                <w:color w:val="000000" w:themeColor="text1"/>
                <w:sz w:val="20"/>
                <w:szCs w:val="20"/>
              </w:rPr>
            </w:pPr>
          </w:p>
          <w:p w14:paraId="5113508A" w14:textId="758A47B2" w:rsidR="009917A4" w:rsidRPr="00793463" w:rsidRDefault="00BA0E5C" w:rsidP="00A92280">
            <w:pPr>
              <w:pStyle w:val="BodyText"/>
              <w:spacing w:after="0"/>
              <w:rPr>
                <w:rFonts w:eastAsia="Times New Roman"/>
                <w:color w:val="000000" w:themeColor="text1"/>
                <w:sz w:val="20"/>
                <w:szCs w:val="20"/>
              </w:rPr>
            </w:pPr>
            <w:r w:rsidRPr="00793463">
              <w:rPr>
                <w:rFonts w:eastAsia="Times New Roman"/>
                <w:color w:val="000000" w:themeColor="text1"/>
                <w:sz w:val="20"/>
                <w:szCs w:val="20"/>
              </w:rPr>
              <w:t>Rauor</w:t>
            </w:r>
            <w:r w:rsidR="00DE34C9" w:rsidRPr="00793463">
              <w:rPr>
                <w:rFonts w:eastAsia="Times New Roman"/>
                <w:color w:val="000000" w:themeColor="text1"/>
                <w:sz w:val="20"/>
                <w:szCs w:val="20"/>
              </w:rPr>
              <w:t>a</w:t>
            </w:r>
            <w:r w:rsidRPr="00793463">
              <w:rPr>
                <w:rFonts w:eastAsia="Times New Roman"/>
                <w:color w:val="000000" w:themeColor="text1"/>
                <w:sz w:val="20"/>
                <w:szCs w:val="20"/>
              </w:rPr>
              <w:t xml:space="preserve"> exercise series continues</w:t>
            </w:r>
            <w:r w:rsidR="009917A4" w:rsidRPr="00793463">
              <w:rPr>
                <w:rFonts w:eastAsia="Times New Roman"/>
                <w:color w:val="000000" w:themeColor="text1"/>
                <w:sz w:val="20"/>
                <w:szCs w:val="20"/>
              </w:rPr>
              <w:t xml:space="preserve"> </w:t>
            </w:r>
          </w:p>
        </w:tc>
      </w:tr>
    </w:tbl>
    <w:p w14:paraId="6E42C038" w14:textId="11D50814" w:rsidR="009917A4" w:rsidRDefault="009917A4"/>
    <w:p w14:paraId="34A391C0" w14:textId="021B4C38" w:rsidR="009917A4" w:rsidRDefault="009917A4"/>
    <w:p w14:paraId="6C47AF2C" w14:textId="77777777" w:rsidR="009917A4" w:rsidRDefault="009917A4"/>
    <w:tbl>
      <w:tblPr>
        <w:tblStyle w:val="TableGrid"/>
        <w:tblW w:w="22397" w:type="dxa"/>
        <w:tblInd w:w="-459" w:type="dxa"/>
        <w:tblLayout w:type="fixed"/>
        <w:tblLook w:val="04A0" w:firstRow="1" w:lastRow="0" w:firstColumn="1" w:lastColumn="0" w:noHBand="0" w:noVBand="1"/>
      </w:tblPr>
      <w:tblGrid>
        <w:gridCol w:w="979"/>
        <w:gridCol w:w="1699"/>
        <w:gridCol w:w="12"/>
        <w:gridCol w:w="4113"/>
        <w:gridCol w:w="3545"/>
        <w:gridCol w:w="425"/>
        <w:gridCol w:w="426"/>
        <w:gridCol w:w="989"/>
        <w:gridCol w:w="5375"/>
        <w:gridCol w:w="11"/>
        <w:gridCol w:w="709"/>
        <w:gridCol w:w="854"/>
        <w:gridCol w:w="3260"/>
      </w:tblGrid>
      <w:tr w:rsidR="00955915" w:rsidRPr="00286A2D" w14:paraId="6132E2B2" w14:textId="77777777" w:rsidTr="00BA0E5C">
        <w:trPr>
          <w:cantSplit/>
          <w:trHeight w:val="1701"/>
        </w:trPr>
        <w:tc>
          <w:tcPr>
            <w:tcW w:w="979" w:type="dxa"/>
            <w:shd w:val="clear" w:color="auto" w:fill="FBD4B4" w:themeFill="accent6" w:themeFillTint="66"/>
            <w:textDirection w:val="btLr"/>
            <w:vAlign w:val="center"/>
          </w:tcPr>
          <w:p w14:paraId="34182D88" w14:textId="4E50B48D" w:rsidR="008451D1" w:rsidRPr="00286A2D" w:rsidRDefault="006B0A63" w:rsidP="00A95825">
            <w:pPr>
              <w:ind w:left="113" w:right="113"/>
              <w:jc w:val="center"/>
              <w:rPr>
                <w:b/>
                <w:sz w:val="20"/>
                <w:szCs w:val="20"/>
              </w:rPr>
            </w:pPr>
            <w:r>
              <w:br w:type="page"/>
            </w:r>
            <w:r w:rsidR="008451D1" w:rsidRPr="00286A2D">
              <w:rPr>
                <w:b/>
                <w:sz w:val="20"/>
                <w:szCs w:val="20"/>
              </w:rPr>
              <w:t>Risk #</w:t>
            </w:r>
          </w:p>
        </w:tc>
        <w:tc>
          <w:tcPr>
            <w:tcW w:w="1699" w:type="dxa"/>
            <w:shd w:val="clear" w:color="auto" w:fill="FBD4B4" w:themeFill="accent6" w:themeFillTint="66"/>
            <w:vAlign w:val="center"/>
          </w:tcPr>
          <w:p w14:paraId="1E979AEB" w14:textId="77777777" w:rsidR="008451D1" w:rsidRPr="00286A2D" w:rsidRDefault="008451D1" w:rsidP="008451D1">
            <w:pPr>
              <w:jc w:val="center"/>
              <w:rPr>
                <w:b/>
                <w:sz w:val="20"/>
                <w:szCs w:val="20"/>
              </w:rPr>
            </w:pPr>
            <w:r w:rsidRPr="00286A2D">
              <w:rPr>
                <w:b/>
                <w:sz w:val="20"/>
                <w:szCs w:val="20"/>
              </w:rPr>
              <w:t>Risk Description</w:t>
            </w:r>
          </w:p>
        </w:tc>
        <w:tc>
          <w:tcPr>
            <w:tcW w:w="4125" w:type="dxa"/>
            <w:gridSpan w:val="2"/>
            <w:shd w:val="clear" w:color="auto" w:fill="FBD4B4" w:themeFill="accent6" w:themeFillTint="66"/>
            <w:vAlign w:val="center"/>
          </w:tcPr>
          <w:p w14:paraId="391EDB0D" w14:textId="77777777" w:rsidR="008451D1" w:rsidRPr="00286A2D" w:rsidRDefault="008451D1" w:rsidP="008451D1">
            <w:pPr>
              <w:jc w:val="center"/>
              <w:rPr>
                <w:b/>
                <w:sz w:val="20"/>
                <w:szCs w:val="20"/>
              </w:rPr>
            </w:pPr>
            <w:r w:rsidRPr="00286A2D">
              <w:rPr>
                <w:b/>
                <w:sz w:val="20"/>
                <w:szCs w:val="20"/>
              </w:rPr>
              <w:t>Reasons or Causes</w:t>
            </w:r>
          </w:p>
        </w:tc>
        <w:tc>
          <w:tcPr>
            <w:tcW w:w="3545" w:type="dxa"/>
            <w:shd w:val="clear" w:color="auto" w:fill="FBD4B4" w:themeFill="accent6" w:themeFillTint="66"/>
            <w:vAlign w:val="center"/>
          </w:tcPr>
          <w:p w14:paraId="6FC6459B" w14:textId="77777777" w:rsidR="008451D1" w:rsidRPr="00286A2D" w:rsidRDefault="008451D1" w:rsidP="008451D1">
            <w:pPr>
              <w:spacing w:line="360" w:lineRule="auto"/>
              <w:jc w:val="center"/>
              <w:rPr>
                <w:b/>
                <w:sz w:val="20"/>
                <w:szCs w:val="20"/>
              </w:rPr>
            </w:pPr>
            <w:r>
              <w:rPr>
                <w:b/>
                <w:sz w:val="20"/>
                <w:szCs w:val="20"/>
              </w:rPr>
              <w:t>Consequences</w:t>
            </w:r>
          </w:p>
        </w:tc>
        <w:tc>
          <w:tcPr>
            <w:tcW w:w="425" w:type="dxa"/>
            <w:shd w:val="clear" w:color="auto" w:fill="FBD4B4" w:themeFill="accent6" w:themeFillTint="66"/>
            <w:textDirection w:val="btLr"/>
            <w:vAlign w:val="center"/>
          </w:tcPr>
          <w:p w14:paraId="24693AE1" w14:textId="77777777" w:rsidR="008451D1" w:rsidRPr="00286A2D" w:rsidRDefault="008451D1" w:rsidP="008451D1">
            <w:pPr>
              <w:spacing w:line="360" w:lineRule="auto"/>
              <w:ind w:left="113" w:right="113"/>
              <w:jc w:val="center"/>
              <w:rPr>
                <w:b/>
                <w:sz w:val="20"/>
                <w:szCs w:val="20"/>
              </w:rPr>
            </w:pPr>
            <w:r w:rsidRPr="00286A2D">
              <w:rPr>
                <w:b/>
                <w:sz w:val="20"/>
                <w:szCs w:val="20"/>
              </w:rPr>
              <w:t>Probability</w:t>
            </w:r>
          </w:p>
        </w:tc>
        <w:tc>
          <w:tcPr>
            <w:tcW w:w="426" w:type="dxa"/>
            <w:shd w:val="clear" w:color="auto" w:fill="FBD4B4" w:themeFill="accent6" w:themeFillTint="66"/>
            <w:textDirection w:val="btLr"/>
            <w:vAlign w:val="center"/>
          </w:tcPr>
          <w:p w14:paraId="74048F0B" w14:textId="77777777" w:rsidR="008451D1" w:rsidRPr="00286A2D" w:rsidRDefault="008451D1" w:rsidP="00A603E0">
            <w:pPr>
              <w:spacing w:line="360" w:lineRule="auto"/>
              <w:jc w:val="center"/>
              <w:rPr>
                <w:b/>
                <w:sz w:val="20"/>
                <w:szCs w:val="20"/>
              </w:rPr>
            </w:pPr>
            <w:r w:rsidRPr="00286A2D">
              <w:rPr>
                <w:b/>
                <w:sz w:val="20"/>
                <w:szCs w:val="20"/>
              </w:rPr>
              <w:t>Impact</w:t>
            </w:r>
          </w:p>
        </w:tc>
        <w:tc>
          <w:tcPr>
            <w:tcW w:w="989" w:type="dxa"/>
            <w:shd w:val="clear" w:color="auto" w:fill="FBD4B4" w:themeFill="accent6" w:themeFillTint="66"/>
            <w:textDirection w:val="btLr"/>
            <w:vAlign w:val="center"/>
          </w:tcPr>
          <w:p w14:paraId="6DF099DF" w14:textId="2108EA7F" w:rsidR="008451D1" w:rsidRPr="00286A2D" w:rsidRDefault="008451D1" w:rsidP="008451D1">
            <w:pPr>
              <w:jc w:val="center"/>
              <w:rPr>
                <w:b/>
                <w:sz w:val="20"/>
                <w:szCs w:val="20"/>
              </w:rPr>
            </w:pPr>
            <w:r>
              <w:rPr>
                <w:b/>
                <w:sz w:val="20"/>
                <w:szCs w:val="20"/>
              </w:rPr>
              <w:t xml:space="preserve">Risk </w:t>
            </w:r>
            <w:r w:rsidRPr="00286A2D">
              <w:rPr>
                <w:b/>
                <w:sz w:val="20"/>
                <w:szCs w:val="20"/>
              </w:rPr>
              <w:t>Level</w:t>
            </w:r>
            <w:r>
              <w:rPr>
                <w:b/>
                <w:sz w:val="20"/>
                <w:szCs w:val="20"/>
              </w:rPr>
              <w:t xml:space="preserve"> (Reviewed)</w:t>
            </w:r>
          </w:p>
        </w:tc>
        <w:tc>
          <w:tcPr>
            <w:tcW w:w="5375" w:type="dxa"/>
            <w:shd w:val="clear" w:color="auto" w:fill="FBD4B4" w:themeFill="accent6" w:themeFillTint="66"/>
            <w:vAlign w:val="center"/>
          </w:tcPr>
          <w:p w14:paraId="424BEA09" w14:textId="77777777" w:rsidR="008451D1" w:rsidRPr="00286A2D" w:rsidRDefault="008451D1" w:rsidP="008451D1">
            <w:pPr>
              <w:jc w:val="center"/>
              <w:rPr>
                <w:b/>
                <w:sz w:val="20"/>
                <w:szCs w:val="20"/>
              </w:rPr>
            </w:pPr>
            <w:r>
              <w:rPr>
                <w:b/>
                <w:sz w:val="20"/>
                <w:szCs w:val="20"/>
              </w:rPr>
              <w:t>Risk Treatment(s)</w:t>
            </w:r>
          </w:p>
        </w:tc>
        <w:tc>
          <w:tcPr>
            <w:tcW w:w="720" w:type="dxa"/>
            <w:gridSpan w:val="2"/>
            <w:shd w:val="clear" w:color="auto" w:fill="FBD4B4" w:themeFill="accent6" w:themeFillTint="66"/>
            <w:textDirection w:val="btLr"/>
            <w:vAlign w:val="center"/>
          </w:tcPr>
          <w:p w14:paraId="3DC0EDAD" w14:textId="02CE64FA" w:rsidR="008451D1" w:rsidRDefault="00D27C1D" w:rsidP="008451D1">
            <w:pPr>
              <w:jc w:val="center"/>
              <w:rPr>
                <w:b/>
                <w:sz w:val="20"/>
                <w:szCs w:val="20"/>
              </w:rPr>
            </w:pPr>
            <w:r>
              <w:rPr>
                <w:b/>
                <w:sz w:val="20"/>
                <w:szCs w:val="20"/>
              </w:rPr>
              <w:t>Treatment Implementation</w:t>
            </w:r>
          </w:p>
        </w:tc>
        <w:tc>
          <w:tcPr>
            <w:tcW w:w="854" w:type="dxa"/>
            <w:shd w:val="clear" w:color="auto" w:fill="FBD4B4" w:themeFill="accent6" w:themeFillTint="66"/>
            <w:textDirection w:val="btLr"/>
            <w:vAlign w:val="center"/>
          </w:tcPr>
          <w:p w14:paraId="7D086B4A" w14:textId="77777777" w:rsidR="00D27C1D" w:rsidRDefault="00D27C1D" w:rsidP="00D27C1D">
            <w:pPr>
              <w:jc w:val="center"/>
              <w:rPr>
                <w:b/>
                <w:sz w:val="20"/>
                <w:szCs w:val="20"/>
              </w:rPr>
            </w:pPr>
            <w:r>
              <w:rPr>
                <w:b/>
                <w:sz w:val="20"/>
                <w:szCs w:val="20"/>
              </w:rPr>
              <w:t>Post Treatment</w:t>
            </w:r>
          </w:p>
          <w:p w14:paraId="755E3601" w14:textId="4708E84C" w:rsidR="008451D1" w:rsidRPr="00286A2D" w:rsidRDefault="00D27C1D" w:rsidP="00D27C1D">
            <w:pPr>
              <w:ind w:left="113" w:right="113"/>
              <w:jc w:val="center"/>
              <w:rPr>
                <w:b/>
                <w:sz w:val="20"/>
                <w:szCs w:val="20"/>
              </w:rPr>
            </w:pPr>
            <w:r>
              <w:rPr>
                <w:b/>
                <w:sz w:val="20"/>
                <w:szCs w:val="20"/>
              </w:rPr>
              <w:t>Impact</w:t>
            </w:r>
          </w:p>
        </w:tc>
        <w:tc>
          <w:tcPr>
            <w:tcW w:w="3260" w:type="dxa"/>
            <w:shd w:val="clear" w:color="auto" w:fill="FBD4B4" w:themeFill="accent6" w:themeFillTint="66"/>
            <w:vAlign w:val="center"/>
          </w:tcPr>
          <w:p w14:paraId="3A4AC34B" w14:textId="0A468F6B" w:rsidR="008451D1" w:rsidRPr="00286A2D" w:rsidRDefault="008451D1" w:rsidP="008451D1">
            <w:pPr>
              <w:jc w:val="center"/>
              <w:rPr>
                <w:b/>
                <w:sz w:val="20"/>
                <w:szCs w:val="20"/>
              </w:rPr>
            </w:pPr>
            <w:r>
              <w:rPr>
                <w:b/>
                <w:sz w:val="20"/>
                <w:szCs w:val="20"/>
              </w:rPr>
              <w:t>Comments</w:t>
            </w:r>
            <w:r w:rsidR="00D27C1D">
              <w:rPr>
                <w:b/>
                <w:sz w:val="20"/>
                <w:szCs w:val="20"/>
              </w:rPr>
              <w:t xml:space="preserve"> </w:t>
            </w:r>
            <w:r>
              <w:rPr>
                <w:b/>
                <w:sz w:val="20"/>
                <w:szCs w:val="20"/>
              </w:rPr>
              <w:t>/</w:t>
            </w:r>
            <w:r w:rsidR="00D27C1D">
              <w:rPr>
                <w:b/>
                <w:sz w:val="20"/>
                <w:szCs w:val="20"/>
              </w:rPr>
              <w:t xml:space="preserve"> </w:t>
            </w:r>
            <w:r>
              <w:rPr>
                <w:b/>
                <w:sz w:val="20"/>
                <w:szCs w:val="20"/>
              </w:rPr>
              <w:t>Examples</w:t>
            </w:r>
          </w:p>
        </w:tc>
      </w:tr>
      <w:tr w:rsidR="009C43FC" w:rsidRPr="009441E2" w14:paraId="3D6AD82E" w14:textId="77777777" w:rsidTr="00EE2DD6">
        <w:trPr>
          <w:cantSplit/>
          <w:trHeight w:val="1389"/>
        </w:trPr>
        <w:tc>
          <w:tcPr>
            <w:tcW w:w="979" w:type="dxa"/>
            <w:vMerge w:val="restart"/>
          </w:tcPr>
          <w:p w14:paraId="7AC979E2" w14:textId="5C427655" w:rsidR="009C43FC" w:rsidRPr="009441E2" w:rsidRDefault="009C43FC" w:rsidP="00A92280">
            <w:pPr>
              <w:pStyle w:val="BodyText"/>
              <w:spacing w:after="0"/>
              <w:rPr>
                <w:rFonts w:eastAsia="Times New Roman"/>
                <w:sz w:val="20"/>
                <w:szCs w:val="20"/>
              </w:rPr>
            </w:pPr>
            <w:r>
              <w:rPr>
                <w:rFonts w:eastAsia="Times New Roman"/>
                <w:sz w:val="20"/>
                <w:szCs w:val="20"/>
              </w:rPr>
              <w:t>2021</w:t>
            </w:r>
            <w:r w:rsidRPr="009441E2">
              <w:rPr>
                <w:rFonts w:eastAsia="Times New Roman"/>
                <w:sz w:val="20"/>
                <w:szCs w:val="20"/>
              </w:rPr>
              <w:t>/0</w:t>
            </w:r>
            <w:r>
              <w:rPr>
                <w:rFonts w:eastAsia="Times New Roman"/>
                <w:sz w:val="20"/>
                <w:szCs w:val="20"/>
              </w:rPr>
              <w:t>7</w:t>
            </w:r>
          </w:p>
        </w:tc>
        <w:tc>
          <w:tcPr>
            <w:tcW w:w="1711" w:type="dxa"/>
            <w:gridSpan w:val="2"/>
            <w:vMerge w:val="restart"/>
          </w:tcPr>
          <w:p w14:paraId="1E55DE3F" w14:textId="77777777" w:rsidR="009C43FC" w:rsidRPr="00CF1B96" w:rsidRDefault="009C43FC" w:rsidP="00A92280">
            <w:pPr>
              <w:pStyle w:val="BodyText"/>
              <w:spacing w:after="0"/>
              <w:rPr>
                <w:rFonts w:eastAsia="Times New Roman"/>
                <w:b/>
                <w:sz w:val="20"/>
                <w:szCs w:val="20"/>
              </w:rPr>
            </w:pPr>
            <w:bookmarkStart w:id="4" w:name="_Toc350781735"/>
            <w:r>
              <w:rPr>
                <w:rFonts w:eastAsia="Times New Roman"/>
                <w:b/>
                <w:sz w:val="20"/>
                <w:szCs w:val="20"/>
              </w:rPr>
              <w:t>Personal Safety</w:t>
            </w:r>
          </w:p>
          <w:p w14:paraId="5F3BD633" w14:textId="77777777" w:rsidR="009C43FC" w:rsidRDefault="009C43FC" w:rsidP="00A92280">
            <w:pPr>
              <w:pStyle w:val="BodyText"/>
              <w:spacing w:after="0"/>
              <w:rPr>
                <w:rFonts w:eastAsia="Times New Roman"/>
                <w:sz w:val="20"/>
                <w:szCs w:val="20"/>
              </w:rPr>
            </w:pPr>
          </w:p>
          <w:p w14:paraId="15954F07" w14:textId="77777777" w:rsidR="009C43FC" w:rsidRDefault="009C43FC" w:rsidP="00A92280">
            <w:pPr>
              <w:pStyle w:val="BodyText"/>
              <w:spacing w:after="0"/>
              <w:rPr>
                <w:rFonts w:eastAsia="Times New Roman"/>
                <w:sz w:val="20"/>
                <w:szCs w:val="20"/>
              </w:rPr>
            </w:pPr>
            <w:r w:rsidRPr="000D1DCF">
              <w:rPr>
                <w:rFonts w:eastAsia="Times New Roman"/>
                <w:sz w:val="20"/>
                <w:szCs w:val="20"/>
              </w:rPr>
              <w:t xml:space="preserve">Inadequate public understanding of </w:t>
            </w:r>
            <w:r>
              <w:rPr>
                <w:rFonts w:eastAsia="Times New Roman"/>
                <w:sz w:val="20"/>
                <w:szCs w:val="20"/>
              </w:rPr>
              <w:t>the</w:t>
            </w:r>
            <w:r w:rsidRPr="000D1DCF">
              <w:rPr>
                <w:rFonts w:eastAsia="Times New Roman"/>
                <w:sz w:val="20"/>
                <w:szCs w:val="20"/>
              </w:rPr>
              <w:t xml:space="preserve"> risks</w:t>
            </w:r>
            <w:bookmarkEnd w:id="4"/>
            <w:r>
              <w:rPr>
                <w:rFonts w:eastAsia="Times New Roman"/>
                <w:sz w:val="20"/>
                <w:szCs w:val="20"/>
              </w:rPr>
              <w:t xml:space="preserve"> taken during recreational activities and the lack of planning to survive an adverse event. </w:t>
            </w:r>
          </w:p>
          <w:p w14:paraId="1C05739F" w14:textId="77777777" w:rsidR="009C43FC" w:rsidRPr="009441E2" w:rsidRDefault="009C43FC" w:rsidP="00A92280">
            <w:pPr>
              <w:pStyle w:val="BodyText"/>
              <w:spacing w:after="0"/>
              <w:rPr>
                <w:rFonts w:eastAsia="Times New Roman"/>
                <w:sz w:val="20"/>
                <w:szCs w:val="20"/>
              </w:rPr>
            </w:pPr>
          </w:p>
        </w:tc>
        <w:tc>
          <w:tcPr>
            <w:tcW w:w="4113" w:type="dxa"/>
            <w:vMerge w:val="restart"/>
          </w:tcPr>
          <w:p w14:paraId="18315775" w14:textId="4F696B86" w:rsidR="009C43FC" w:rsidRPr="000A3B56" w:rsidRDefault="009C43FC" w:rsidP="00A92280">
            <w:pPr>
              <w:pStyle w:val="BodyTextIndentBullet"/>
              <w:numPr>
                <w:ilvl w:val="0"/>
                <w:numId w:val="0"/>
              </w:numPr>
              <w:spacing w:before="0"/>
              <w:ind w:right="45"/>
              <w:rPr>
                <w:szCs w:val="20"/>
              </w:rPr>
            </w:pPr>
            <w:r w:rsidRPr="000A3B56">
              <w:rPr>
                <w:szCs w:val="20"/>
              </w:rPr>
              <w:t>A portion of the public demonstrate a lack of understanding or underestimation of the risks involved with the recreational activity they are undertaking.  Due to:</w:t>
            </w:r>
          </w:p>
          <w:p w14:paraId="37F4DBED" w14:textId="77777777" w:rsidR="009C43FC" w:rsidRPr="000A3B56" w:rsidRDefault="009C43FC" w:rsidP="00A92280">
            <w:pPr>
              <w:pStyle w:val="BodyTextIndentBullet"/>
              <w:spacing w:before="0"/>
              <w:ind w:left="318" w:right="45" w:hanging="318"/>
              <w:rPr>
                <w:szCs w:val="20"/>
              </w:rPr>
            </w:pPr>
            <w:r w:rsidRPr="000A3B56">
              <w:rPr>
                <w:szCs w:val="20"/>
              </w:rPr>
              <w:t>Increase in the range of recreational activities.</w:t>
            </w:r>
          </w:p>
          <w:p w14:paraId="47A5E452" w14:textId="77777777" w:rsidR="009C43FC" w:rsidRPr="000A3B56" w:rsidRDefault="009C43FC" w:rsidP="00A92280">
            <w:pPr>
              <w:pStyle w:val="BodyTextIndentBullet"/>
              <w:spacing w:before="0"/>
              <w:ind w:left="318" w:right="45" w:hanging="318"/>
              <w:rPr>
                <w:szCs w:val="20"/>
              </w:rPr>
            </w:pPr>
            <w:r w:rsidRPr="000A3B56">
              <w:rPr>
                <w:szCs w:val="20"/>
              </w:rPr>
              <w:t xml:space="preserve">Lack of understanding by inbound tourists about New Zealand’s conditions and weather. </w:t>
            </w:r>
          </w:p>
          <w:p w14:paraId="4234F3BB" w14:textId="77777777" w:rsidR="009C43FC" w:rsidRPr="000A3B56" w:rsidRDefault="009C43FC" w:rsidP="00A92280">
            <w:pPr>
              <w:pStyle w:val="BodyTextIndentBullet"/>
              <w:spacing w:before="0"/>
              <w:ind w:left="318" w:right="45" w:hanging="318"/>
              <w:rPr>
                <w:szCs w:val="20"/>
              </w:rPr>
            </w:pPr>
            <w:r w:rsidRPr="000A3B56">
              <w:rPr>
                <w:szCs w:val="20"/>
              </w:rPr>
              <w:t>Inadequate coordination and cohesion between the plethora of competing agencies which provide safety advice.</w:t>
            </w:r>
          </w:p>
          <w:p w14:paraId="047733E4" w14:textId="77777777" w:rsidR="009C43FC" w:rsidRPr="000A3B56" w:rsidRDefault="009C43FC" w:rsidP="00A92280">
            <w:pPr>
              <w:pStyle w:val="BodyTextIndentBullet"/>
              <w:spacing w:before="0"/>
              <w:ind w:left="318" w:right="45" w:hanging="318"/>
              <w:rPr>
                <w:szCs w:val="20"/>
              </w:rPr>
            </w:pPr>
            <w:r w:rsidRPr="000A3B56">
              <w:rPr>
                <w:szCs w:val="20"/>
              </w:rPr>
              <w:t xml:space="preserve">Lack of access to information and awareness about the activity, </w:t>
            </w:r>
            <w:proofErr w:type="gramStart"/>
            <w:r w:rsidRPr="000A3B56">
              <w:rPr>
                <w:szCs w:val="20"/>
              </w:rPr>
              <w:t>environment</w:t>
            </w:r>
            <w:proofErr w:type="gramEnd"/>
            <w:r w:rsidRPr="000A3B56">
              <w:rPr>
                <w:szCs w:val="20"/>
              </w:rPr>
              <w:t xml:space="preserve"> and safety implications. </w:t>
            </w:r>
          </w:p>
          <w:p w14:paraId="6C0E54F8" w14:textId="77777777" w:rsidR="009C43FC" w:rsidRPr="000A3B56" w:rsidRDefault="009C43FC" w:rsidP="00A92280">
            <w:pPr>
              <w:pStyle w:val="BodyTextIndentBullet"/>
              <w:spacing w:before="0"/>
              <w:ind w:left="318" w:right="45" w:hanging="318"/>
              <w:rPr>
                <w:szCs w:val="20"/>
              </w:rPr>
            </w:pPr>
            <w:r w:rsidRPr="000A3B56">
              <w:rPr>
                <w:szCs w:val="20"/>
              </w:rPr>
              <w:t xml:space="preserve">Inability to cope once in an uncertain situation or when exposed to recreational hazards. </w:t>
            </w:r>
          </w:p>
          <w:p w14:paraId="3065DD4D" w14:textId="77777777" w:rsidR="009C43FC" w:rsidRPr="000A3B56" w:rsidRDefault="009C43FC" w:rsidP="00A92280">
            <w:pPr>
              <w:pStyle w:val="BodyTextIndentBullet"/>
              <w:spacing w:before="0"/>
              <w:ind w:left="318" w:right="45" w:hanging="318"/>
              <w:rPr>
                <w:szCs w:val="20"/>
              </w:rPr>
            </w:pPr>
            <w:r w:rsidRPr="000A3B56">
              <w:rPr>
                <w:szCs w:val="20"/>
              </w:rPr>
              <w:t xml:space="preserve"> Lack of effective sector monitoring, </w:t>
            </w:r>
            <w:proofErr w:type="gramStart"/>
            <w:r w:rsidRPr="000A3B56">
              <w:rPr>
                <w:szCs w:val="20"/>
              </w:rPr>
              <w:t>supervision</w:t>
            </w:r>
            <w:proofErr w:type="gramEnd"/>
            <w:r w:rsidRPr="000A3B56">
              <w:rPr>
                <w:szCs w:val="20"/>
              </w:rPr>
              <w:t xml:space="preserve"> or surveillance. </w:t>
            </w:r>
          </w:p>
          <w:p w14:paraId="0A3242A9" w14:textId="77777777" w:rsidR="009C43FC" w:rsidRPr="000A3B56" w:rsidRDefault="009C43FC" w:rsidP="00943807">
            <w:pPr>
              <w:pStyle w:val="BodyTextIndentBullet"/>
              <w:numPr>
                <w:ilvl w:val="0"/>
                <w:numId w:val="0"/>
              </w:numPr>
              <w:spacing w:before="0"/>
              <w:ind w:right="45"/>
              <w:rPr>
                <w:szCs w:val="20"/>
              </w:rPr>
            </w:pPr>
          </w:p>
          <w:p w14:paraId="7CDE8F33" w14:textId="1FDC3AC2" w:rsidR="009C43FC" w:rsidRPr="000A3B56" w:rsidRDefault="009C43FC" w:rsidP="00943807">
            <w:pPr>
              <w:pStyle w:val="BodyTextIndentBullet"/>
              <w:numPr>
                <w:ilvl w:val="0"/>
                <w:numId w:val="0"/>
              </w:numPr>
              <w:spacing w:before="0"/>
              <w:ind w:right="45"/>
              <w:rPr>
                <w:szCs w:val="20"/>
              </w:rPr>
            </w:pPr>
            <w:r w:rsidRPr="000A3B56">
              <w:rPr>
                <w:szCs w:val="20"/>
              </w:rPr>
              <w:t>Some persons in the wider search and rescue region undertake fishing and other activities inadequately prepared and/or with inadequate safety /communications equipment for the conditions.</w:t>
            </w:r>
          </w:p>
        </w:tc>
        <w:tc>
          <w:tcPr>
            <w:tcW w:w="3545" w:type="dxa"/>
            <w:vMerge w:val="restart"/>
          </w:tcPr>
          <w:p w14:paraId="012880F5" w14:textId="77777777" w:rsidR="009C43FC" w:rsidRPr="000A3B56" w:rsidRDefault="009C43FC" w:rsidP="00A92280">
            <w:pPr>
              <w:pStyle w:val="BodyTextIndentBullet"/>
              <w:spacing w:before="0"/>
              <w:ind w:left="318" w:right="45" w:hanging="318"/>
              <w:rPr>
                <w:szCs w:val="20"/>
              </w:rPr>
            </w:pPr>
            <w:r w:rsidRPr="000A3B56">
              <w:rPr>
                <w:szCs w:val="20"/>
              </w:rPr>
              <w:t>Individuals fail to take adequate precautions and/or responsibility for their own safety.</w:t>
            </w:r>
          </w:p>
          <w:p w14:paraId="09E7DA00" w14:textId="77777777" w:rsidR="009C43FC" w:rsidRPr="000A3B56" w:rsidRDefault="009C43FC" w:rsidP="00A92280">
            <w:pPr>
              <w:pStyle w:val="BodyTextIndentBullet"/>
              <w:spacing w:before="0"/>
              <w:ind w:left="318" w:right="45" w:hanging="318"/>
              <w:rPr>
                <w:szCs w:val="20"/>
              </w:rPr>
            </w:pPr>
            <w:r w:rsidRPr="000A3B56">
              <w:rPr>
                <w:szCs w:val="20"/>
              </w:rPr>
              <w:t>Unacceptable levels of harm to New Zealand residents and foreign tourists.</w:t>
            </w:r>
          </w:p>
          <w:p w14:paraId="1EA2DED0" w14:textId="77777777" w:rsidR="009C43FC" w:rsidRPr="000A3B56" w:rsidRDefault="009C43FC" w:rsidP="00A92280">
            <w:pPr>
              <w:pStyle w:val="BodyTextIndentBullet"/>
              <w:spacing w:before="0"/>
              <w:ind w:left="318" w:right="45" w:hanging="318"/>
              <w:rPr>
                <w:szCs w:val="20"/>
              </w:rPr>
            </w:pPr>
            <w:r w:rsidRPr="000A3B56">
              <w:rPr>
                <w:szCs w:val="20"/>
              </w:rPr>
              <w:t>Harm to the reputation of New Zealand as a tourist destination.</w:t>
            </w:r>
          </w:p>
          <w:p w14:paraId="0EFB2A6F" w14:textId="77777777" w:rsidR="009C43FC" w:rsidRPr="000A3B56" w:rsidRDefault="009C43FC" w:rsidP="00A92280">
            <w:pPr>
              <w:pStyle w:val="BodyTextIndentBullet"/>
              <w:spacing w:before="0"/>
              <w:ind w:left="318" w:right="45" w:hanging="318"/>
              <w:rPr>
                <w:szCs w:val="20"/>
              </w:rPr>
            </w:pPr>
            <w:r w:rsidRPr="000A3B56">
              <w:rPr>
                <w:szCs w:val="20"/>
              </w:rPr>
              <w:t>Unrealistic public expectations of the SAR sector.</w:t>
            </w:r>
          </w:p>
          <w:p w14:paraId="694A8200" w14:textId="28CDCB1D" w:rsidR="009C43FC" w:rsidRPr="000A3B56" w:rsidRDefault="009C43FC" w:rsidP="00A92280">
            <w:pPr>
              <w:pStyle w:val="BodyTextIndentBullet"/>
              <w:spacing w:before="0"/>
              <w:ind w:left="318" w:right="45" w:hanging="318"/>
              <w:rPr>
                <w:szCs w:val="20"/>
              </w:rPr>
            </w:pPr>
            <w:r w:rsidRPr="000A3B56">
              <w:rPr>
                <w:szCs w:val="20"/>
              </w:rPr>
              <w:t>Long duration but avoidable SAR operations in the wider NZSRR utilising expensive assets.</w:t>
            </w:r>
          </w:p>
        </w:tc>
        <w:tc>
          <w:tcPr>
            <w:tcW w:w="425" w:type="dxa"/>
            <w:vMerge w:val="restart"/>
            <w:textDirection w:val="btLr"/>
            <w:vAlign w:val="center"/>
          </w:tcPr>
          <w:p w14:paraId="6A6A378A" w14:textId="77777777" w:rsidR="009C43FC" w:rsidRDefault="009C43FC" w:rsidP="00A92280">
            <w:pPr>
              <w:pStyle w:val="BodyText"/>
              <w:spacing w:after="0"/>
              <w:jc w:val="center"/>
              <w:rPr>
                <w:rFonts w:eastAsia="Times New Roman"/>
                <w:sz w:val="20"/>
                <w:szCs w:val="20"/>
              </w:rPr>
            </w:pPr>
            <w:r>
              <w:rPr>
                <w:rFonts w:eastAsia="Times New Roman"/>
                <w:sz w:val="20"/>
                <w:szCs w:val="20"/>
              </w:rPr>
              <w:t>Likely</w:t>
            </w:r>
          </w:p>
        </w:tc>
        <w:tc>
          <w:tcPr>
            <w:tcW w:w="426" w:type="dxa"/>
            <w:vMerge w:val="restart"/>
            <w:textDirection w:val="btLr"/>
            <w:vAlign w:val="center"/>
          </w:tcPr>
          <w:p w14:paraId="07E1A31F" w14:textId="77777777" w:rsidR="009C43FC" w:rsidRDefault="009C43FC" w:rsidP="00A92280">
            <w:pPr>
              <w:pStyle w:val="BodyText"/>
              <w:spacing w:after="0"/>
              <w:jc w:val="center"/>
              <w:rPr>
                <w:rFonts w:eastAsia="Times New Roman"/>
                <w:sz w:val="20"/>
                <w:szCs w:val="20"/>
              </w:rPr>
            </w:pPr>
            <w:r>
              <w:rPr>
                <w:rFonts w:eastAsia="Times New Roman"/>
                <w:sz w:val="20"/>
                <w:szCs w:val="20"/>
              </w:rPr>
              <w:t>Moderate</w:t>
            </w:r>
          </w:p>
        </w:tc>
        <w:tc>
          <w:tcPr>
            <w:tcW w:w="989" w:type="dxa"/>
            <w:shd w:val="clear" w:color="auto" w:fill="FFFF00"/>
            <w:textDirection w:val="btLr"/>
            <w:vAlign w:val="center"/>
          </w:tcPr>
          <w:p w14:paraId="763B84A5" w14:textId="79F660F9" w:rsidR="009C43FC" w:rsidRPr="00FD28C8" w:rsidRDefault="009C43FC" w:rsidP="00A92280">
            <w:pPr>
              <w:pStyle w:val="BodyText"/>
              <w:spacing w:after="0"/>
              <w:jc w:val="center"/>
              <w:rPr>
                <w:rFonts w:eastAsia="Times New Roman"/>
                <w:sz w:val="20"/>
                <w:szCs w:val="20"/>
              </w:rPr>
            </w:pPr>
            <w:r w:rsidRPr="00FD28C8">
              <w:rPr>
                <w:sz w:val="20"/>
              </w:rPr>
              <w:t>(</w:t>
            </w:r>
            <w:r w:rsidR="0094380F">
              <w:rPr>
                <w:sz w:val="20"/>
              </w:rPr>
              <w:t>Aug</w:t>
            </w:r>
            <w:r>
              <w:rPr>
                <w:sz w:val="20"/>
              </w:rPr>
              <w:t xml:space="preserve"> 21)</w:t>
            </w:r>
          </w:p>
        </w:tc>
        <w:tc>
          <w:tcPr>
            <w:tcW w:w="5386" w:type="dxa"/>
            <w:gridSpan w:val="2"/>
          </w:tcPr>
          <w:p w14:paraId="645CAA78" w14:textId="097885F7" w:rsidR="009C43FC" w:rsidRPr="009D7FEC" w:rsidRDefault="009C43FC" w:rsidP="00A92280">
            <w:pPr>
              <w:pStyle w:val="BodyText"/>
              <w:spacing w:after="0"/>
              <w:rPr>
                <w:rFonts w:eastAsia="Times New Roman"/>
                <w:b/>
                <w:color w:val="000000" w:themeColor="text1"/>
                <w:sz w:val="20"/>
                <w:szCs w:val="20"/>
              </w:rPr>
            </w:pPr>
            <w:r w:rsidRPr="009D7FEC">
              <w:rPr>
                <w:rFonts w:eastAsia="Times New Roman"/>
                <w:b/>
                <w:color w:val="000000" w:themeColor="text1"/>
                <w:sz w:val="20"/>
                <w:szCs w:val="20"/>
              </w:rPr>
              <w:t xml:space="preserve">Risk treatment 2021/07/A: </w:t>
            </w:r>
            <w:r w:rsidR="0094380F" w:rsidRPr="009D7FEC">
              <w:rPr>
                <w:rFonts w:eastAsia="Times New Roman"/>
                <w:b/>
                <w:color w:val="000000" w:themeColor="text1"/>
                <w:sz w:val="20"/>
                <w:szCs w:val="20"/>
              </w:rPr>
              <w:t>Assist to e</w:t>
            </w:r>
            <w:r w:rsidRPr="009D7FEC">
              <w:rPr>
                <w:rFonts w:eastAsia="Times New Roman"/>
                <w:b/>
                <w:color w:val="000000" w:themeColor="text1"/>
                <w:sz w:val="20"/>
                <w:szCs w:val="20"/>
              </w:rPr>
              <w:t xml:space="preserve">nsure the public has access to good quality, consistent safety advice. </w:t>
            </w:r>
          </w:p>
          <w:p w14:paraId="5204B999" w14:textId="1AC88D60" w:rsidR="009C43FC" w:rsidRPr="009D7FEC" w:rsidRDefault="009C43FC" w:rsidP="00943807">
            <w:pPr>
              <w:pStyle w:val="BodyText"/>
              <w:spacing w:after="0"/>
              <w:rPr>
                <w:rFonts w:eastAsia="Times New Roman"/>
                <w:color w:val="000000" w:themeColor="text1"/>
                <w:sz w:val="20"/>
                <w:szCs w:val="20"/>
              </w:rPr>
            </w:pPr>
            <w:r w:rsidRPr="009D7FEC">
              <w:rPr>
                <w:rFonts w:eastAsia="Times New Roman"/>
                <w:color w:val="000000" w:themeColor="text1"/>
                <w:sz w:val="20"/>
                <w:szCs w:val="20"/>
              </w:rPr>
              <w:t xml:space="preserve">Encourage a </w:t>
            </w:r>
            <w:r w:rsidR="0094380F" w:rsidRPr="009D7FEC">
              <w:rPr>
                <w:rFonts w:eastAsia="Times New Roman"/>
                <w:color w:val="000000" w:themeColor="text1"/>
                <w:sz w:val="20"/>
                <w:szCs w:val="20"/>
              </w:rPr>
              <w:t xml:space="preserve">broad based, </w:t>
            </w:r>
            <w:r w:rsidRPr="009D7FEC">
              <w:rPr>
                <w:rFonts w:eastAsia="Times New Roman"/>
                <w:color w:val="000000" w:themeColor="text1"/>
                <w:sz w:val="20"/>
                <w:szCs w:val="20"/>
              </w:rPr>
              <w:t xml:space="preserve">coordinated and appropriately targeted approach to prevention and public safety initiatives. Support and/or conduct research in support of prevention effectiveness and outcomes. </w:t>
            </w:r>
            <w:r w:rsidR="0094380F" w:rsidRPr="009D7FEC">
              <w:rPr>
                <w:rFonts w:eastAsia="Times New Roman"/>
                <w:color w:val="000000" w:themeColor="text1"/>
                <w:sz w:val="20"/>
                <w:szCs w:val="20"/>
              </w:rPr>
              <w:t>M</w:t>
            </w:r>
            <w:r w:rsidRPr="009D7FEC">
              <w:rPr>
                <w:rFonts w:eastAsia="Times New Roman"/>
                <w:color w:val="000000" w:themeColor="text1"/>
                <w:sz w:val="20"/>
                <w:szCs w:val="20"/>
              </w:rPr>
              <w:t xml:space="preserve">aintain </w:t>
            </w:r>
            <w:r w:rsidR="0094380F" w:rsidRPr="009D7FEC">
              <w:rPr>
                <w:rFonts w:eastAsia="Times New Roman"/>
                <w:color w:val="000000" w:themeColor="text1"/>
                <w:sz w:val="20"/>
                <w:szCs w:val="20"/>
              </w:rPr>
              <w:t xml:space="preserve">and progressively enhance </w:t>
            </w:r>
            <w:r w:rsidRPr="009D7FEC">
              <w:rPr>
                <w:rFonts w:eastAsia="Times New Roman"/>
                <w:color w:val="000000" w:themeColor="text1"/>
                <w:sz w:val="20"/>
                <w:szCs w:val="20"/>
              </w:rPr>
              <w:t xml:space="preserve">the NZSAR AdventureSmart website and associated collateral. </w:t>
            </w:r>
          </w:p>
        </w:tc>
        <w:tc>
          <w:tcPr>
            <w:tcW w:w="709" w:type="dxa"/>
            <w:shd w:val="clear" w:color="auto" w:fill="FFFF00"/>
            <w:textDirection w:val="btLr"/>
            <w:vAlign w:val="center"/>
          </w:tcPr>
          <w:p w14:paraId="1A511407" w14:textId="77777777" w:rsidR="009C43FC" w:rsidRDefault="009C43FC" w:rsidP="00A92280">
            <w:pPr>
              <w:pStyle w:val="BodyText"/>
              <w:spacing w:after="0"/>
              <w:ind w:left="113" w:right="113"/>
              <w:jc w:val="center"/>
              <w:rPr>
                <w:rFonts w:eastAsia="Times New Roman"/>
                <w:sz w:val="20"/>
                <w:szCs w:val="20"/>
              </w:rPr>
            </w:pPr>
            <w:r>
              <w:rPr>
                <w:rFonts w:eastAsia="Times New Roman"/>
                <w:sz w:val="20"/>
                <w:szCs w:val="20"/>
              </w:rPr>
              <w:t>Partial</w:t>
            </w:r>
          </w:p>
        </w:tc>
        <w:tc>
          <w:tcPr>
            <w:tcW w:w="854" w:type="dxa"/>
            <w:shd w:val="clear" w:color="auto" w:fill="00B050"/>
            <w:textDirection w:val="btLr"/>
            <w:vAlign w:val="center"/>
          </w:tcPr>
          <w:p w14:paraId="337A042B" w14:textId="77777777" w:rsidR="009C43FC" w:rsidRDefault="009C43FC" w:rsidP="00A92280">
            <w:pPr>
              <w:pStyle w:val="BodyText"/>
              <w:spacing w:after="0"/>
              <w:ind w:left="57" w:right="57"/>
              <w:jc w:val="center"/>
              <w:rPr>
                <w:rFonts w:eastAsia="Times New Roman"/>
                <w:sz w:val="20"/>
                <w:szCs w:val="20"/>
              </w:rPr>
            </w:pPr>
            <w:r>
              <w:rPr>
                <w:rFonts w:eastAsia="Times New Roman"/>
                <w:sz w:val="20"/>
                <w:szCs w:val="20"/>
              </w:rPr>
              <w:t>Ongoing</w:t>
            </w:r>
          </w:p>
        </w:tc>
        <w:tc>
          <w:tcPr>
            <w:tcW w:w="3260" w:type="dxa"/>
          </w:tcPr>
          <w:p w14:paraId="4AE13995" w14:textId="61C5121F" w:rsidR="009C43FC" w:rsidRPr="009D7FEC" w:rsidRDefault="00396513" w:rsidP="00A92280">
            <w:pPr>
              <w:pStyle w:val="BodyText"/>
              <w:spacing w:after="0"/>
              <w:rPr>
                <w:rFonts w:eastAsia="Times New Roman"/>
                <w:color w:val="000000" w:themeColor="text1"/>
                <w:sz w:val="20"/>
                <w:szCs w:val="20"/>
              </w:rPr>
            </w:pPr>
            <w:r w:rsidRPr="009D7FEC">
              <w:rPr>
                <w:rFonts w:eastAsia="Times New Roman"/>
                <w:color w:val="000000" w:themeColor="text1"/>
                <w:sz w:val="20"/>
                <w:szCs w:val="20"/>
              </w:rPr>
              <w:t>Distress beacon promotion occurred summer 20/21.  Will be improved and repeated summer 21/22.</w:t>
            </w:r>
            <w:r w:rsidR="009C43FC" w:rsidRPr="009D7FEC">
              <w:rPr>
                <w:rFonts w:eastAsia="Times New Roman"/>
                <w:color w:val="000000" w:themeColor="text1"/>
                <w:sz w:val="20"/>
                <w:szCs w:val="20"/>
              </w:rPr>
              <w:t xml:space="preserve">   </w:t>
            </w:r>
          </w:p>
        </w:tc>
      </w:tr>
      <w:tr w:rsidR="009C43FC" w:rsidRPr="009441E2" w14:paraId="1AFBCE45" w14:textId="77777777" w:rsidTr="00EE2DD6">
        <w:trPr>
          <w:cantSplit/>
          <w:trHeight w:val="1134"/>
        </w:trPr>
        <w:tc>
          <w:tcPr>
            <w:tcW w:w="979" w:type="dxa"/>
            <w:vMerge/>
          </w:tcPr>
          <w:p w14:paraId="46F42863" w14:textId="77777777" w:rsidR="009C43FC" w:rsidRPr="009441E2" w:rsidRDefault="009C43FC" w:rsidP="00A92280">
            <w:pPr>
              <w:pStyle w:val="BodyText"/>
              <w:spacing w:after="0"/>
              <w:rPr>
                <w:rFonts w:eastAsia="Times New Roman"/>
                <w:sz w:val="20"/>
                <w:szCs w:val="20"/>
              </w:rPr>
            </w:pPr>
          </w:p>
        </w:tc>
        <w:tc>
          <w:tcPr>
            <w:tcW w:w="1711" w:type="dxa"/>
            <w:gridSpan w:val="2"/>
            <w:vMerge/>
          </w:tcPr>
          <w:p w14:paraId="1FBE4957" w14:textId="77777777" w:rsidR="009C43FC" w:rsidRDefault="009C43FC" w:rsidP="00A92280">
            <w:pPr>
              <w:pStyle w:val="BodyText"/>
              <w:spacing w:after="0"/>
              <w:rPr>
                <w:rFonts w:eastAsia="Times New Roman"/>
                <w:b/>
                <w:sz w:val="20"/>
                <w:szCs w:val="20"/>
              </w:rPr>
            </w:pPr>
          </w:p>
        </w:tc>
        <w:tc>
          <w:tcPr>
            <w:tcW w:w="4113" w:type="dxa"/>
            <w:vMerge/>
          </w:tcPr>
          <w:p w14:paraId="62104D3E" w14:textId="77777777" w:rsidR="009C43FC" w:rsidRDefault="009C43FC" w:rsidP="00A92280">
            <w:pPr>
              <w:pStyle w:val="BodyText"/>
              <w:spacing w:after="0"/>
              <w:rPr>
                <w:rFonts w:eastAsia="Times New Roman"/>
                <w:sz w:val="20"/>
                <w:szCs w:val="20"/>
              </w:rPr>
            </w:pPr>
          </w:p>
        </w:tc>
        <w:tc>
          <w:tcPr>
            <w:tcW w:w="3545" w:type="dxa"/>
            <w:vMerge/>
          </w:tcPr>
          <w:p w14:paraId="26703E08" w14:textId="77777777" w:rsidR="009C43FC" w:rsidRDefault="009C43FC" w:rsidP="00A92280">
            <w:pPr>
              <w:pStyle w:val="BodyTextIndentBullet"/>
              <w:spacing w:before="0"/>
              <w:ind w:left="0" w:firstLine="0"/>
              <w:rPr>
                <w:szCs w:val="20"/>
              </w:rPr>
            </w:pPr>
          </w:p>
        </w:tc>
        <w:tc>
          <w:tcPr>
            <w:tcW w:w="425" w:type="dxa"/>
            <w:vMerge/>
            <w:textDirection w:val="btLr"/>
            <w:vAlign w:val="center"/>
          </w:tcPr>
          <w:p w14:paraId="3B089212" w14:textId="77777777" w:rsidR="009C43FC" w:rsidRDefault="009C43FC" w:rsidP="00A92280">
            <w:pPr>
              <w:pStyle w:val="BodyText"/>
              <w:spacing w:after="0"/>
              <w:jc w:val="center"/>
              <w:rPr>
                <w:rFonts w:eastAsia="Times New Roman"/>
                <w:sz w:val="20"/>
                <w:szCs w:val="20"/>
              </w:rPr>
            </w:pPr>
          </w:p>
        </w:tc>
        <w:tc>
          <w:tcPr>
            <w:tcW w:w="426" w:type="dxa"/>
            <w:vMerge/>
            <w:textDirection w:val="btLr"/>
            <w:vAlign w:val="center"/>
          </w:tcPr>
          <w:p w14:paraId="52D89C39" w14:textId="77777777" w:rsidR="009C43FC" w:rsidRDefault="009C43FC" w:rsidP="00A92280">
            <w:pPr>
              <w:pStyle w:val="BodyText"/>
              <w:spacing w:after="0"/>
              <w:jc w:val="center"/>
              <w:rPr>
                <w:rFonts w:eastAsia="Times New Roman"/>
                <w:sz w:val="20"/>
                <w:szCs w:val="20"/>
              </w:rPr>
            </w:pPr>
          </w:p>
        </w:tc>
        <w:tc>
          <w:tcPr>
            <w:tcW w:w="989" w:type="dxa"/>
            <w:shd w:val="clear" w:color="auto" w:fill="FFFF00"/>
            <w:textDirection w:val="btLr"/>
            <w:vAlign w:val="center"/>
          </w:tcPr>
          <w:p w14:paraId="5AEE0ED2" w14:textId="6D263F95" w:rsidR="009C43FC" w:rsidRPr="00FD28C8" w:rsidRDefault="009C43FC" w:rsidP="00A92280">
            <w:pPr>
              <w:pStyle w:val="BodyText"/>
              <w:spacing w:after="0"/>
              <w:jc w:val="center"/>
              <w:rPr>
                <w:rFonts w:eastAsia="Times New Roman"/>
                <w:sz w:val="20"/>
                <w:szCs w:val="20"/>
              </w:rPr>
            </w:pPr>
            <w:r w:rsidRPr="00FD28C8">
              <w:rPr>
                <w:sz w:val="20"/>
              </w:rPr>
              <w:t>(</w:t>
            </w:r>
            <w:r w:rsidR="0094380F">
              <w:rPr>
                <w:sz w:val="20"/>
              </w:rPr>
              <w:t>Aug</w:t>
            </w:r>
            <w:r>
              <w:rPr>
                <w:sz w:val="20"/>
              </w:rPr>
              <w:t xml:space="preserve"> 21</w:t>
            </w:r>
            <w:r w:rsidRPr="00FD28C8">
              <w:rPr>
                <w:sz w:val="20"/>
              </w:rPr>
              <w:t>)</w:t>
            </w:r>
          </w:p>
        </w:tc>
        <w:tc>
          <w:tcPr>
            <w:tcW w:w="5386" w:type="dxa"/>
            <w:gridSpan w:val="2"/>
          </w:tcPr>
          <w:p w14:paraId="79BB7F81" w14:textId="69D68B69" w:rsidR="009C43FC" w:rsidRPr="009D7FEC" w:rsidRDefault="009C43FC" w:rsidP="00A92280">
            <w:pPr>
              <w:pStyle w:val="BodyText"/>
              <w:spacing w:after="0"/>
              <w:rPr>
                <w:rFonts w:eastAsia="Times New Roman"/>
                <w:b/>
                <w:color w:val="000000" w:themeColor="text1"/>
                <w:sz w:val="20"/>
                <w:szCs w:val="20"/>
              </w:rPr>
            </w:pPr>
            <w:r w:rsidRPr="009D7FEC">
              <w:rPr>
                <w:rFonts w:eastAsia="Times New Roman"/>
                <w:b/>
                <w:color w:val="000000" w:themeColor="text1"/>
                <w:sz w:val="20"/>
                <w:szCs w:val="20"/>
              </w:rPr>
              <w:t>Treatment option 2021/07/B: Recreational safety - provision of consistent information to the media and public.</w:t>
            </w:r>
          </w:p>
          <w:p w14:paraId="29176350" w14:textId="468CC0C4" w:rsidR="009C43FC" w:rsidRPr="009D7FEC" w:rsidRDefault="009C43FC" w:rsidP="00A92280">
            <w:pPr>
              <w:pStyle w:val="BodyText"/>
              <w:spacing w:after="0"/>
              <w:rPr>
                <w:rFonts w:eastAsia="Times New Roman"/>
                <w:b/>
                <w:color w:val="000000" w:themeColor="text1"/>
                <w:sz w:val="20"/>
                <w:szCs w:val="20"/>
              </w:rPr>
            </w:pPr>
            <w:r w:rsidRPr="009D7FEC">
              <w:rPr>
                <w:rFonts w:eastAsia="Times New Roman"/>
                <w:color w:val="000000" w:themeColor="text1"/>
                <w:sz w:val="20"/>
                <w:szCs w:val="20"/>
              </w:rPr>
              <w:t xml:space="preserve">Support interagency linkages, information sharing and activity coordination. Promote standardised safety information based on commonly agreed safety codes.  </w:t>
            </w:r>
            <w:r w:rsidR="0094380F" w:rsidRPr="009D7FEC">
              <w:rPr>
                <w:rFonts w:eastAsia="Times New Roman"/>
                <w:color w:val="000000" w:themeColor="text1"/>
                <w:sz w:val="20"/>
                <w:szCs w:val="20"/>
              </w:rPr>
              <w:t>Support</w:t>
            </w:r>
            <w:r w:rsidRPr="009D7FEC">
              <w:rPr>
                <w:rFonts w:eastAsia="Times New Roman"/>
                <w:color w:val="000000" w:themeColor="text1"/>
                <w:sz w:val="20"/>
                <w:szCs w:val="20"/>
              </w:rPr>
              <w:t xml:space="preserve"> </w:t>
            </w:r>
            <w:r w:rsidR="0094380F" w:rsidRPr="009D7FEC">
              <w:rPr>
                <w:rFonts w:eastAsia="Times New Roman"/>
                <w:color w:val="000000" w:themeColor="text1"/>
                <w:sz w:val="20"/>
                <w:szCs w:val="20"/>
              </w:rPr>
              <w:t>c</w:t>
            </w:r>
            <w:r w:rsidRPr="009D7FEC">
              <w:rPr>
                <w:rFonts w:eastAsia="Times New Roman"/>
                <w:color w:val="000000" w:themeColor="text1"/>
                <w:sz w:val="20"/>
                <w:szCs w:val="20"/>
              </w:rPr>
              <w:t xml:space="preserve">ollective </w:t>
            </w:r>
            <w:r w:rsidR="0094380F" w:rsidRPr="009D7FEC">
              <w:rPr>
                <w:rFonts w:eastAsia="Times New Roman"/>
                <w:color w:val="000000" w:themeColor="text1"/>
                <w:sz w:val="20"/>
                <w:szCs w:val="20"/>
              </w:rPr>
              <w:t xml:space="preserve">communications fora </w:t>
            </w:r>
            <w:r w:rsidRPr="009D7FEC">
              <w:rPr>
                <w:rFonts w:eastAsia="Times New Roman"/>
                <w:color w:val="000000" w:themeColor="text1"/>
                <w:sz w:val="20"/>
                <w:szCs w:val="20"/>
              </w:rPr>
              <w:t xml:space="preserve">to </w:t>
            </w:r>
            <w:r w:rsidR="0094380F" w:rsidRPr="009D7FEC">
              <w:rPr>
                <w:rFonts w:eastAsia="Times New Roman"/>
                <w:color w:val="000000" w:themeColor="text1"/>
                <w:sz w:val="20"/>
                <w:szCs w:val="20"/>
              </w:rPr>
              <w:t xml:space="preserve">coordinate the provision of </w:t>
            </w:r>
            <w:r w:rsidRPr="009D7FEC">
              <w:rPr>
                <w:rFonts w:eastAsia="Times New Roman"/>
                <w:color w:val="000000" w:themeColor="text1"/>
                <w:sz w:val="20"/>
                <w:szCs w:val="20"/>
              </w:rPr>
              <w:t>agreed, timely and consistent information to the media on personal responsibilities and better preparation when undertaking outdoor recreational activities.</w:t>
            </w:r>
          </w:p>
        </w:tc>
        <w:tc>
          <w:tcPr>
            <w:tcW w:w="709" w:type="dxa"/>
            <w:shd w:val="clear" w:color="auto" w:fill="FFFF00"/>
            <w:textDirection w:val="btLr"/>
            <w:vAlign w:val="center"/>
          </w:tcPr>
          <w:p w14:paraId="0149B9D3" w14:textId="6F0108C2" w:rsidR="009C43FC" w:rsidRDefault="009C43FC" w:rsidP="00A92280">
            <w:pPr>
              <w:pStyle w:val="BodyText"/>
              <w:spacing w:after="0"/>
              <w:ind w:left="113" w:right="113"/>
              <w:jc w:val="center"/>
              <w:rPr>
                <w:rFonts w:eastAsia="Times New Roman"/>
                <w:sz w:val="20"/>
                <w:szCs w:val="20"/>
              </w:rPr>
            </w:pPr>
          </w:p>
        </w:tc>
        <w:tc>
          <w:tcPr>
            <w:tcW w:w="854" w:type="dxa"/>
            <w:shd w:val="clear" w:color="auto" w:fill="00B050"/>
            <w:textDirection w:val="btLr"/>
            <w:vAlign w:val="center"/>
          </w:tcPr>
          <w:p w14:paraId="046A8B41" w14:textId="15B9DA17" w:rsidR="009C43FC" w:rsidRPr="009441E2" w:rsidRDefault="009C43FC" w:rsidP="00A92280">
            <w:pPr>
              <w:pStyle w:val="BodyText"/>
              <w:spacing w:after="0"/>
              <w:ind w:left="57" w:right="57"/>
              <w:jc w:val="center"/>
              <w:rPr>
                <w:rFonts w:eastAsia="Times New Roman"/>
                <w:sz w:val="20"/>
                <w:szCs w:val="20"/>
              </w:rPr>
            </w:pPr>
          </w:p>
        </w:tc>
        <w:tc>
          <w:tcPr>
            <w:tcW w:w="3260" w:type="dxa"/>
          </w:tcPr>
          <w:p w14:paraId="7124B77D" w14:textId="77777777" w:rsidR="009C43FC" w:rsidRPr="009D7FEC" w:rsidRDefault="009C43FC" w:rsidP="00A92280">
            <w:pPr>
              <w:pStyle w:val="BodyText"/>
              <w:spacing w:after="0"/>
              <w:rPr>
                <w:rFonts w:eastAsia="Times New Roman"/>
                <w:color w:val="000000" w:themeColor="text1"/>
                <w:sz w:val="20"/>
                <w:szCs w:val="20"/>
              </w:rPr>
            </w:pPr>
            <w:r w:rsidRPr="009D7FEC">
              <w:rPr>
                <w:rFonts w:eastAsia="Times New Roman"/>
                <w:color w:val="000000" w:themeColor="text1"/>
                <w:sz w:val="20"/>
                <w:szCs w:val="20"/>
              </w:rPr>
              <w:t>Land Safety code agreed late 2020.</w:t>
            </w:r>
          </w:p>
          <w:p w14:paraId="23C0E934" w14:textId="77777777" w:rsidR="0094380F" w:rsidRPr="009D7FEC" w:rsidRDefault="0094380F" w:rsidP="00A92280">
            <w:pPr>
              <w:pStyle w:val="BodyText"/>
              <w:spacing w:after="0"/>
              <w:rPr>
                <w:rFonts w:eastAsia="Times New Roman"/>
                <w:color w:val="000000" w:themeColor="text1"/>
                <w:sz w:val="20"/>
                <w:szCs w:val="20"/>
              </w:rPr>
            </w:pPr>
          </w:p>
          <w:p w14:paraId="066CE78D" w14:textId="09A0162A" w:rsidR="0094380F" w:rsidRPr="009D7FEC" w:rsidRDefault="0094380F" w:rsidP="00A92280">
            <w:pPr>
              <w:pStyle w:val="BodyText"/>
              <w:spacing w:after="0"/>
              <w:rPr>
                <w:rFonts w:eastAsia="Times New Roman"/>
                <w:color w:val="000000" w:themeColor="text1"/>
                <w:sz w:val="20"/>
                <w:szCs w:val="20"/>
              </w:rPr>
            </w:pPr>
            <w:r w:rsidRPr="009D7FEC">
              <w:rPr>
                <w:rFonts w:eastAsia="Times New Roman"/>
                <w:color w:val="000000" w:themeColor="text1"/>
                <w:sz w:val="20"/>
                <w:szCs w:val="20"/>
              </w:rPr>
              <w:t xml:space="preserve">Water safety code revision due to be complete prior to summer 21/22 </w:t>
            </w:r>
          </w:p>
        </w:tc>
      </w:tr>
      <w:tr w:rsidR="009C43FC" w:rsidRPr="009441E2" w14:paraId="68B9365B" w14:textId="77777777" w:rsidTr="00EE2DD6">
        <w:trPr>
          <w:cantSplit/>
          <w:trHeight w:val="1428"/>
        </w:trPr>
        <w:tc>
          <w:tcPr>
            <w:tcW w:w="979" w:type="dxa"/>
            <w:vMerge/>
          </w:tcPr>
          <w:p w14:paraId="4924F08E" w14:textId="77777777" w:rsidR="009C43FC" w:rsidRPr="009441E2" w:rsidRDefault="009C43FC" w:rsidP="00A92280">
            <w:pPr>
              <w:pStyle w:val="BodyText"/>
              <w:spacing w:after="0"/>
              <w:rPr>
                <w:rFonts w:eastAsia="Times New Roman"/>
                <w:sz w:val="20"/>
                <w:szCs w:val="20"/>
              </w:rPr>
            </w:pPr>
          </w:p>
        </w:tc>
        <w:tc>
          <w:tcPr>
            <w:tcW w:w="1711" w:type="dxa"/>
            <w:gridSpan w:val="2"/>
            <w:vMerge/>
          </w:tcPr>
          <w:p w14:paraId="292D448A" w14:textId="77777777" w:rsidR="009C43FC" w:rsidRDefault="009C43FC" w:rsidP="00A92280">
            <w:pPr>
              <w:pStyle w:val="BodyText"/>
              <w:spacing w:after="0"/>
              <w:rPr>
                <w:rFonts w:eastAsia="Times New Roman"/>
                <w:b/>
                <w:sz w:val="20"/>
                <w:szCs w:val="20"/>
              </w:rPr>
            </w:pPr>
          </w:p>
        </w:tc>
        <w:tc>
          <w:tcPr>
            <w:tcW w:w="4113" w:type="dxa"/>
            <w:vMerge/>
          </w:tcPr>
          <w:p w14:paraId="48AB2A83" w14:textId="77777777" w:rsidR="009C43FC" w:rsidRDefault="009C43FC" w:rsidP="00A92280">
            <w:pPr>
              <w:pStyle w:val="BodyText"/>
              <w:spacing w:after="0"/>
              <w:rPr>
                <w:rFonts w:eastAsia="Times New Roman"/>
                <w:sz w:val="20"/>
                <w:szCs w:val="20"/>
              </w:rPr>
            </w:pPr>
          </w:p>
        </w:tc>
        <w:tc>
          <w:tcPr>
            <w:tcW w:w="3545" w:type="dxa"/>
            <w:vMerge/>
          </w:tcPr>
          <w:p w14:paraId="698ACF42" w14:textId="77777777" w:rsidR="009C43FC" w:rsidRDefault="009C43FC" w:rsidP="00A92280">
            <w:pPr>
              <w:pStyle w:val="BodyTextIndentBullet"/>
              <w:spacing w:before="0"/>
              <w:ind w:left="0" w:firstLine="0"/>
              <w:rPr>
                <w:szCs w:val="20"/>
              </w:rPr>
            </w:pPr>
          </w:p>
        </w:tc>
        <w:tc>
          <w:tcPr>
            <w:tcW w:w="425" w:type="dxa"/>
            <w:vMerge/>
            <w:textDirection w:val="btLr"/>
            <w:vAlign w:val="center"/>
          </w:tcPr>
          <w:p w14:paraId="0D3E17DB" w14:textId="77777777" w:rsidR="009C43FC" w:rsidRDefault="009C43FC" w:rsidP="00A92280">
            <w:pPr>
              <w:pStyle w:val="BodyText"/>
              <w:spacing w:after="0"/>
              <w:jc w:val="center"/>
              <w:rPr>
                <w:rFonts w:eastAsia="Times New Roman"/>
                <w:sz w:val="20"/>
                <w:szCs w:val="20"/>
              </w:rPr>
            </w:pPr>
          </w:p>
        </w:tc>
        <w:tc>
          <w:tcPr>
            <w:tcW w:w="426" w:type="dxa"/>
            <w:vMerge/>
            <w:textDirection w:val="btLr"/>
            <w:vAlign w:val="center"/>
          </w:tcPr>
          <w:p w14:paraId="2225F039" w14:textId="77777777" w:rsidR="009C43FC" w:rsidRDefault="009C43FC" w:rsidP="00A92280">
            <w:pPr>
              <w:pStyle w:val="BodyText"/>
              <w:spacing w:after="0"/>
              <w:jc w:val="center"/>
              <w:rPr>
                <w:rFonts w:eastAsia="Times New Roman"/>
                <w:sz w:val="20"/>
                <w:szCs w:val="20"/>
              </w:rPr>
            </w:pPr>
          </w:p>
        </w:tc>
        <w:tc>
          <w:tcPr>
            <w:tcW w:w="989" w:type="dxa"/>
            <w:shd w:val="clear" w:color="auto" w:fill="FFFF00"/>
            <w:textDirection w:val="btLr"/>
            <w:vAlign w:val="center"/>
          </w:tcPr>
          <w:p w14:paraId="247D6F02" w14:textId="74461B03" w:rsidR="009C43FC" w:rsidRPr="00FD28C8" w:rsidRDefault="009C43FC" w:rsidP="00A92280">
            <w:pPr>
              <w:pStyle w:val="BodyText"/>
              <w:spacing w:after="0"/>
              <w:jc w:val="center"/>
              <w:rPr>
                <w:rFonts w:eastAsia="Times New Roman"/>
                <w:sz w:val="20"/>
                <w:szCs w:val="20"/>
              </w:rPr>
            </w:pPr>
            <w:r w:rsidRPr="00FD28C8">
              <w:rPr>
                <w:sz w:val="20"/>
              </w:rPr>
              <w:t>(</w:t>
            </w:r>
            <w:r w:rsidR="0094380F">
              <w:rPr>
                <w:sz w:val="20"/>
              </w:rPr>
              <w:t>Aug</w:t>
            </w:r>
            <w:r>
              <w:rPr>
                <w:sz w:val="20"/>
              </w:rPr>
              <w:t xml:space="preserve"> 21</w:t>
            </w:r>
            <w:r w:rsidRPr="00FD28C8">
              <w:rPr>
                <w:sz w:val="20"/>
              </w:rPr>
              <w:t>)</w:t>
            </w:r>
          </w:p>
        </w:tc>
        <w:tc>
          <w:tcPr>
            <w:tcW w:w="5386" w:type="dxa"/>
            <w:gridSpan w:val="2"/>
          </w:tcPr>
          <w:p w14:paraId="7B187152" w14:textId="5A7E118F" w:rsidR="009C43FC" w:rsidRPr="000A3B56" w:rsidRDefault="009C43FC" w:rsidP="00A92280">
            <w:pPr>
              <w:pStyle w:val="BodyText"/>
              <w:spacing w:after="0"/>
              <w:rPr>
                <w:rFonts w:eastAsia="Times New Roman"/>
                <w:b/>
                <w:sz w:val="20"/>
                <w:szCs w:val="20"/>
              </w:rPr>
            </w:pPr>
            <w:r w:rsidRPr="000A3B56">
              <w:rPr>
                <w:rFonts w:eastAsia="Times New Roman"/>
                <w:b/>
                <w:sz w:val="20"/>
                <w:szCs w:val="20"/>
              </w:rPr>
              <w:t>Treatment option 2021/07/C: Implement the Benchmarking Prevention Activities (</w:t>
            </w:r>
            <w:proofErr w:type="spellStart"/>
            <w:r w:rsidRPr="000A3B56">
              <w:rPr>
                <w:rFonts w:eastAsia="Times New Roman"/>
                <w:b/>
                <w:sz w:val="20"/>
                <w:szCs w:val="20"/>
              </w:rPr>
              <w:t>BePA</w:t>
            </w:r>
            <w:proofErr w:type="spellEnd"/>
            <w:r w:rsidRPr="000A3B56">
              <w:rPr>
                <w:rFonts w:eastAsia="Times New Roman"/>
                <w:b/>
                <w:sz w:val="20"/>
                <w:szCs w:val="20"/>
              </w:rPr>
              <w:t>) report recommendations.</w:t>
            </w:r>
          </w:p>
          <w:p w14:paraId="73C04F92" w14:textId="575DECD7" w:rsidR="009C43FC" w:rsidRPr="000A3B56" w:rsidRDefault="009C43FC" w:rsidP="00A92280">
            <w:pPr>
              <w:pStyle w:val="BodyText"/>
              <w:spacing w:after="0"/>
              <w:rPr>
                <w:rFonts w:eastAsia="Times New Roman"/>
                <w:b/>
                <w:sz w:val="20"/>
                <w:szCs w:val="20"/>
              </w:rPr>
            </w:pPr>
            <w:r w:rsidRPr="000A3B56">
              <w:rPr>
                <w:rFonts w:eastAsia="Times New Roman"/>
                <w:sz w:val="20"/>
                <w:szCs w:val="20"/>
              </w:rPr>
              <w:t xml:space="preserve">Work with agencies to provide information to enable   </w:t>
            </w:r>
            <w:proofErr w:type="spellStart"/>
            <w:r w:rsidRPr="000A3B56">
              <w:rPr>
                <w:rFonts w:eastAsia="Times New Roman"/>
                <w:sz w:val="20"/>
                <w:szCs w:val="20"/>
              </w:rPr>
              <w:t>BePA</w:t>
            </w:r>
            <w:proofErr w:type="spellEnd"/>
            <w:r w:rsidRPr="000A3B56">
              <w:rPr>
                <w:rFonts w:eastAsia="Times New Roman"/>
                <w:sz w:val="20"/>
                <w:szCs w:val="20"/>
              </w:rPr>
              <w:t xml:space="preserve"> (a derivative of the NZ Inc Recreational Safety Strategy) reporting and analysis </w:t>
            </w:r>
            <w:proofErr w:type="gramStart"/>
            <w:r w:rsidRPr="000A3B56">
              <w:rPr>
                <w:rFonts w:eastAsia="Times New Roman"/>
                <w:sz w:val="20"/>
                <w:szCs w:val="20"/>
              </w:rPr>
              <w:t>in order to</w:t>
            </w:r>
            <w:proofErr w:type="gramEnd"/>
            <w:r w:rsidRPr="000A3B56">
              <w:rPr>
                <w:rFonts w:eastAsia="Times New Roman"/>
                <w:sz w:val="20"/>
                <w:szCs w:val="20"/>
              </w:rPr>
              <w:t xml:space="preserve"> benchmark all SAR related prevention activity undertaken in New Zealand, including the impact and funding of the activity</w:t>
            </w:r>
          </w:p>
        </w:tc>
        <w:tc>
          <w:tcPr>
            <w:tcW w:w="709" w:type="dxa"/>
            <w:shd w:val="clear" w:color="auto" w:fill="FFFF00"/>
            <w:textDirection w:val="btLr"/>
            <w:vAlign w:val="center"/>
          </w:tcPr>
          <w:p w14:paraId="33B98CC0" w14:textId="77777777" w:rsidR="009C43FC" w:rsidRDefault="009C43FC" w:rsidP="00A92280">
            <w:pPr>
              <w:pStyle w:val="BodyText"/>
              <w:spacing w:after="0"/>
              <w:ind w:left="113" w:right="113"/>
              <w:jc w:val="center"/>
              <w:rPr>
                <w:rFonts w:eastAsia="Times New Roman"/>
                <w:sz w:val="20"/>
                <w:szCs w:val="20"/>
              </w:rPr>
            </w:pPr>
            <w:r>
              <w:rPr>
                <w:rFonts w:eastAsia="Times New Roman"/>
                <w:sz w:val="20"/>
                <w:szCs w:val="20"/>
              </w:rPr>
              <w:t>Partial</w:t>
            </w:r>
          </w:p>
        </w:tc>
        <w:tc>
          <w:tcPr>
            <w:tcW w:w="854" w:type="dxa"/>
            <w:shd w:val="clear" w:color="auto" w:fill="00B050"/>
            <w:textDirection w:val="btLr"/>
            <w:vAlign w:val="center"/>
          </w:tcPr>
          <w:p w14:paraId="70596D33" w14:textId="77777777" w:rsidR="009C43FC" w:rsidRPr="009441E2" w:rsidRDefault="009C43FC" w:rsidP="00A92280">
            <w:pPr>
              <w:pStyle w:val="BodyText"/>
              <w:spacing w:after="0"/>
              <w:ind w:left="57" w:right="57"/>
              <w:jc w:val="center"/>
              <w:rPr>
                <w:rFonts w:eastAsia="Times New Roman"/>
                <w:sz w:val="20"/>
                <w:szCs w:val="20"/>
              </w:rPr>
            </w:pPr>
            <w:r>
              <w:rPr>
                <w:rFonts w:eastAsia="Times New Roman"/>
                <w:sz w:val="20"/>
                <w:szCs w:val="20"/>
              </w:rPr>
              <w:t>Ongoing</w:t>
            </w:r>
          </w:p>
        </w:tc>
        <w:tc>
          <w:tcPr>
            <w:tcW w:w="3260" w:type="dxa"/>
          </w:tcPr>
          <w:p w14:paraId="102EA694" w14:textId="3B98B9BD" w:rsidR="009C43FC" w:rsidRPr="009D7FEC" w:rsidRDefault="00396513" w:rsidP="009C43FC">
            <w:pPr>
              <w:pStyle w:val="BodyText"/>
              <w:spacing w:after="0"/>
              <w:rPr>
                <w:rFonts w:eastAsia="Times New Roman"/>
                <w:color w:val="000000" w:themeColor="text1"/>
                <w:sz w:val="20"/>
                <w:szCs w:val="20"/>
              </w:rPr>
            </w:pPr>
            <w:r w:rsidRPr="009D7FEC">
              <w:rPr>
                <w:rFonts w:eastAsia="Times New Roman"/>
                <w:color w:val="000000" w:themeColor="text1"/>
                <w:sz w:val="20"/>
                <w:szCs w:val="20"/>
              </w:rPr>
              <w:t>Assessing and implementing the recommendations is ongoing. BEPA II will be undertak</w:t>
            </w:r>
            <w:r w:rsidR="00EE2DD6" w:rsidRPr="009D7FEC">
              <w:rPr>
                <w:rFonts w:eastAsia="Times New Roman"/>
                <w:color w:val="000000" w:themeColor="text1"/>
                <w:sz w:val="20"/>
                <w:szCs w:val="20"/>
              </w:rPr>
              <w:t>en</w:t>
            </w:r>
            <w:r w:rsidRPr="009D7FEC">
              <w:rPr>
                <w:rFonts w:eastAsia="Times New Roman"/>
                <w:color w:val="000000" w:themeColor="text1"/>
                <w:sz w:val="20"/>
                <w:szCs w:val="20"/>
              </w:rPr>
              <w:t xml:space="preserve"> later</w:t>
            </w:r>
            <w:r w:rsidR="00EE2DD6" w:rsidRPr="009D7FEC">
              <w:rPr>
                <w:rFonts w:eastAsia="Times New Roman"/>
                <w:color w:val="000000" w:themeColor="text1"/>
                <w:sz w:val="20"/>
                <w:szCs w:val="20"/>
              </w:rPr>
              <w:t xml:space="preserve"> in</w:t>
            </w:r>
            <w:r w:rsidRPr="009D7FEC">
              <w:rPr>
                <w:rFonts w:eastAsia="Times New Roman"/>
                <w:color w:val="000000" w:themeColor="text1"/>
                <w:sz w:val="20"/>
                <w:szCs w:val="20"/>
              </w:rPr>
              <w:t xml:space="preserve"> 2022.</w:t>
            </w:r>
          </w:p>
        </w:tc>
      </w:tr>
      <w:tr w:rsidR="009C43FC" w:rsidRPr="009441E2" w14:paraId="43C55212" w14:textId="77777777" w:rsidTr="00EE2DD6">
        <w:trPr>
          <w:cantSplit/>
          <w:trHeight w:val="1134"/>
        </w:trPr>
        <w:tc>
          <w:tcPr>
            <w:tcW w:w="979" w:type="dxa"/>
            <w:vMerge/>
          </w:tcPr>
          <w:p w14:paraId="246742E9" w14:textId="77777777" w:rsidR="009C43FC" w:rsidRPr="009441E2" w:rsidRDefault="009C43FC" w:rsidP="00A92280">
            <w:pPr>
              <w:pStyle w:val="BodyText"/>
              <w:spacing w:after="0"/>
              <w:rPr>
                <w:rFonts w:eastAsia="Times New Roman"/>
                <w:sz w:val="20"/>
                <w:szCs w:val="20"/>
              </w:rPr>
            </w:pPr>
          </w:p>
        </w:tc>
        <w:tc>
          <w:tcPr>
            <w:tcW w:w="1711" w:type="dxa"/>
            <w:gridSpan w:val="2"/>
            <w:vMerge/>
            <w:tcBorders>
              <w:bottom w:val="nil"/>
            </w:tcBorders>
          </w:tcPr>
          <w:p w14:paraId="287EB62B" w14:textId="77777777" w:rsidR="009C43FC" w:rsidRDefault="009C43FC" w:rsidP="00A92280">
            <w:pPr>
              <w:pStyle w:val="BodyText"/>
              <w:spacing w:after="0"/>
              <w:rPr>
                <w:rFonts w:eastAsia="Times New Roman"/>
                <w:b/>
                <w:sz w:val="20"/>
                <w:szCs w:val="20"/>
              </w:rPr>
            </w:pPr>
          </w:p>
        </w:tc>
        <w:tc>
          <w:tcPr>
            <w:tcW w:w="4113" w:type="dxa"/>
            <w:vMerge/>
            <w:tcBorders>
              <w:bottom w:val="nil"/>
            </w:tcBorders>
          </w:tcPr>
          <w:p w14:paraId="201F5B13" w14:textId="77777777" w:rsidR="009C43FC" w:rsidRDefault="009C43FC" w:rsidP="00A92280">
            <w:pPr>
              <w:pStyle w:val="BodyText"/>
              <w:spacing w:after="0"/>
              <w:rPr>
                <w:rFonts w:eastAsia="Times New Roman"/>
                <w:sz w:val="20"/>
                <w:szCs w:val="20"/>
              </w:rPr>
            </w:pPr>
          </w:p>
        </w:tc>
        <w:tc>
          <w:tcPr>
            <w:tcW w:w="3545" w:type="dxa"/>
            <w:vMerge/>
          </w:tcPr>
          <w:p w14:paraId="6DF5BE5E" w14:textId="77777777" w:rsidR="009C43FC" w:rsidRDefault="009C43FC" w:rsidP="00A92280">
            <w:pPr>
              <w:pStyle w:val="BodyTextIndentBullet"/>
              <w:spacing w:before="0"/>
              <w:ind w:left="0" w:firstLine="0"/>
              <w:rPr>
                <w:szCs w:val="20"/>
              </w:rPr>
            </w:pPr>
          </w:p>
        </w:tc>
        <w:tc>
          <w:tcPr>
            <w:tcW w:w="425" w:type="dxa"/>
            <w:vMerge/>
            <w:textDirection w:val="btLr"/>
            <w:vAlign w:val="center"/>
          </w:tcPr>
          <w:p w14:paraId="07950D85" w14:textId="77777777" w:rsidR="009C43FC" w:rsidRDefault="009C43FC" w:rsidP="00A92280">
            <w:pPr>
              <w:pStyle w:val="BodyText"/>
              <w:spacing w:after="0"/>
              <w:jc w:val="center"/>
              <w:rPr>
                <w:rFonts w:eastAsia="Times New Roman"/>
                <w:sz w:val="20"/>
                <w:szCs w:val="20"/>
              </w:rPr>
            </w:pPr>
          </w:p>
        </w:tc>
        <w:tc>
          <w:tcPr>
            <w:tcW w:w="426" w:type="dxa"/>
            <w:vMerge/>
            <w:textDirection w:val="btLr"/>
            <w:vAlign w:val="center"/>
          </w:tcPr>
          <w:p w14:paraId="7C34540C" w14:textId="77777777" w:rsidR="009C43FC" w:rsidRDefault="009C43FC" w:rsidP="00A92280">
            <w:pPr>
              <w:pStyle w:val="BodyText"/>
              <w:spacing w:after="0"/>
              <w:jc w:val="center"/>
              <w:rPr>
                <w:rFonts w:eastAsia="Times New Roman"/>
                <w:sz w:val="20"/>
                <w:szCs w:val="20"/>
              </w:rPr>
            </w:pPr>
          </w:p>
        </w:tc>
        <w:tc>
          <w:tcPr>
            <w:tcW w:w="989" w:type="dxa"/>
            <w:tcBorders>
              <w:bottom w:val="single" w:sz="4" w:space="0" w:color="auto"/>
            </w:tcBorders>
            <w:shd w:val="clear" w:color="auto" w:fill="FFFF00"/>
            <w:textDirection w:val="btLr"/>
            <w:vAlign w:val="center"/>
          </w:tcPr>
          <w:p w14:paraId="7E893B0E" w14:textId="790292AF" w:rsidR="009C43FC" w:rsidRPr="00FD28C8" w:rsidRDefault="009C43FC" w:rsidP="00A92280">
            <w:pPr>
              <w:pStyle w:val="BodyText"/>
              <w:spacing w:after="0"/>
              <w:jc w:val="center"/>
              <w:rPr>
                <w:sz w:val="20"/>
              </w:rPr>
            </w:pPr>
            <w:r>
              <w:rPr>
                <w:sz w:val="20"/>
              </w:rPr>
              <w:t>(</w:t>
            </w:r>
            <w:r w:rsidR="0094380F">
              <w:rPr>
                <w:sz w:val="20"/>
              </w:rPr>
              <w:t>Aug</w:t>
            </w:r>
            <w:r>
              <w:rPr>
                <w:sz w:val="20"/>
              </w:rPr>
              <w:t xml:space="preserve"> 21)</w:t>
            </w:r>
          </w:p>
        </w:tc>
        <w:tc>
          <w:tcPr>
            <w:tcW w:w="5386" w:type="dxa"/>
            <w:gridSpan w:val="2"/>
            <w:tcBorders>
              <w:bottom w:val="single" w:sz="4" w:space="0" w:color="auto"/>
            </w:tcBorders>
          </w:tcPr>
          <w:p w14:paraId="71AB7B19" w14:textId="5D9FA4CF" w:rsidR="009C43FC" w:rsidRPr="000A3B56" w:rsidRDefault="009C43FC" w:rsidP="00A92280">
            <w:pPr>
              <w:pStyle w:val="BodyText"/>
              <w:spacing w:after="0"/>
              <w:rPr>
                <w:rFonts w:eastAsia="Times New Roman"/>
                <w:b/>
                <w:sz w:val="20"/>
                <w:szCs w:val="20"/>
              </w:rPr>
            </w:pPr>
            <w:r w:rsidRPr="000A3B56">
              <w:rPr>
                <w:rFonts w:eastAsia="Times New Roman"/>
                <w:b/>
                <w:sz w:val="20"/>
                <w:szCs w:val="20"/>
              </w:rPr>
              <w:t>Treatment option 2021/07/D: Support domestic safety organisations and environmental coordination</w:t>
            </w:r>
          </w:p>
          <w:p w14:paraId="55D3C6EF" w14:textId="37BB7F24" w:rsidR="009C43FC" w:rsidRPr="000A3B56" w:rsidRDefault="009C43FC" w:rsidP="00A92280">
            <w:pPr>
              <w:pStyle w:val="BodyText"/>
              <w:spacing w:after="0"/>
              <w:rPr>
                <w:rFonts w:eastAsia="Times New Roman"/>
                <w:sz w:val="20"/>
                <w:szCs w:val="20"/>
              </w:rPr>
            </w:pPr>
            <w:r w:rsidRPr="000A3B56">
              <w:rPr>
                <w:rFonts w:eastAsia="Times New Roman"/>
                <w:sz w:val="20"/>
                <w:szCs w:val="20"/>
              </w:rPr>
              <w:t xml:space="preserve">Support the coordination of SAR prevention efforts of domestic safety information providing agencies. Encourage and support harmonised, collaborative, NZ </w:t>
            </w:r>
            <w:proofErr w:type="spellStart"/>
            <w:r w:rsidRPr="000A3B56">
              <w:rPr>
                <w:rFonts w:eastAsia="Times New Roman"/>
                <w:sz w:val="20"/>
                <w:szCs w:val="20"/>
              </w:rPr>
              <w:t>inc</w:t>
            </w:r>
            <w:proofErr w:type="spellEnd"/>
            <w:r w:rsidRPr="000A3B56">
              <w:rPr>
                <w:rFonts w:eastAsia="Times New Roman"/>
                <w:sz w:val="20"/>
                <w:szCs w:val="20"/>
              </w:rPr>
              <w:t xml:space="preserve"> approaches recreational safety strategies and actions including campaigns, research, regulation etc.</w:t>
            </w:r>
          </w:p>
          <w:p w14:paraId="07D0DB20" w14:textId="24FCE1EC" w:rsidR="009C43FC" w:rsidRPr="000A3B56" w:rsidRDefault="009C43FC" w:rsidP="00A92280">
            <w:pPr>
              <w:pStyle w:val="BodyText"/>
              <w:spacing w:after="0"/>
              <w:rPr>
                <w:rFonts w:eastAsia="Times New Roman"/>
                <w:sz w:val="20"/>
                <w:szCs w:val="20"/>
              </w:rPr>
            </w:pPr>
            <w:r w:rsidRPr="000A3B56">
              <w:rPr>
                <w:rFonts w:eastAsia="Times New Roman"/>
                <w:sz w:val="20"/>
                <w:szCs w:val="20"/>
              </w:rPr>
              <w:t xml:space="preserve">Provide high level messaging and opportunities to share and promote AdventureSmart. Support prevention agencies to promulgate consistent, high quality and engaging safety messaging.  </w:t>
            </w:r>
          </w:p>
        </w:tc>
        <w:tc>
          <w:tcPr>
            <w:tcW w:w="709" w:type="dxa"/>
            <w:tcBorders>
              <w:bottom w:val="single" w:sz="4" w:space="0" w:color="auto"/>
            </w:tcBorders>
            <w:shd w:val="clear" w:color="auto" w:fill="FFFF00"/>
            <w:textDirection w:val="btLr"/>
            <w:vAlign w:val="center"/>
          </w:tcPr>
          <w:p w14:paraId="72730242" w14:textId="77777777" w:rsidR="009C43FC" w:rsidRDefault="009C43FC" w:rsidP="00A92280">
            <w:pPr>
              <w:pStyle w:val="BodyText"/>
              <w:spacing w:after="0"/>
              <w:ind w:left="113" w:right="113"/>
              <w:jc w:val="center"/>
              <w:rPr>
                <w:rFonts w:eastAsia="Times New Roman"/>
                <w:sz w:val="20"/>
                <w:szCs w:val="20"/>
              </w:rPr>
            </w:pPr>
            <w:r>
              <w:rPr>
                <w:rFonts w:eastAsia="Times New Roman"/>
                <w:sz w:val="20"/>
                <w:szCs w:val="20"/>
              </w:rPr>
              <w:t>Partial</w:t>
            </w:r>
          </w:p>
        </w:tc>
        <w:tc>
          <w:tcPr>
            <w:tcW w:w="854" w:type="dxa"/>
            <w:tcBorders>
              <w:bottom w:val="single" w:sz="4" w:space="0" w:color="auto"/>
            </w:tcBorders>
            <w:shd w:val="clear" w:color="auto" w:fill="00B050"/>
            <w:textDirection w:val="btLr"/>
            <w:vAlign w:val="center"/>
          </w:tcPr>
          <w:p w14:paraId="412AA18D" w14:textId="77777777" w:rsidR="009C43FC" w:rsidRPr="009441E2" w:rsidRDefault="009C43FC" w:rsidP="00A92280">
            <w:pPr>
              <w:pStyle w:val="BodyText"/>
              <w:spacing w:after="0"/>
              <w:ind w:left="57" w:right="57"/>
              <w:jc w:val="center"/>
              <w:rPr>
                <w:rFonts w:eastAsia="Times New Roman"/>
                <w:sz w:val="20"/>
                <w:szCs w:val="20"/>
              </w:rPr>
            </w:pPr>
            <w:r>
              <w:rPr>
                <w:rFonts w:eastAsia="Times New Roman"/>
                <w:sz w:val="20"/>
                <w:szCs w:val="20"/>
              </w:rPr>
              <w:t>Ongoing</w:t>
            </w:r>
          </w:p>
        </w:tc>
        <w:tc>
          <w:tcPr>
            <w:tcW w:w="3260" w:type="dxa"/>
            <w:tcBorders>
              <w:bottom w:val="single" w:sz="4" w:space="0" w:color="auto"/>
            </w:tcBorders>
          </w:tcPr>
          <w:p w14:paraId="1B847691" w14:textId="73C97FC6" w:rsidR="009C43FC" w:rsidRPr="009441E2" w:rsidRDefault="009C43FC" w:rsidP="00A92280">
            <w:pPr>
              <w:pStyle w:val="BodyText"/>
              <w:spacing w:after="0"/>
              <w:rPr>
                <w:rFonts w:eastAsia="Times New Roman"/>
                <w:sz w:val="20"/>
                <w:szCs w:val="20"/>
              </w:rPr>
            </w:pPr>
            <w:r>
              <w:rPr>
                <w:rFonts w:eastAsia="Times New Roman"/>
                <w:sz w:val="20"/>
                <w:szCs w:val="20"/>
              </w:rPr>
              <w:t>Strongly supporting collaborative approaches/systems such as the safer boating</w:t>
            </w:r>
            <w:r w:rsidR="00EE2DD6">
              <w:rPr>
                <w:rFonts w:eastAsia="Times New Roman"/>
                <w:sz w:val="20"/>
                <w:szCs w:val="20"/>
              </w:rPr>
              <w:t xml:space="preserve">, CSRG </w:t>
            </w:r>
            <w:r>
              <w:rPr>
                <w:rFonts w:eastAsia="Times New Roman"/>
                <w:sz w:val="20"/>
                <w:szCs w:val="20"/>
              </w:rPr>
              <w:t>and land safety forums.</w:t>
            </w:r>
          </w:p>
        </w:tc>
      </w:tr>
      <w:tr w:rsidR="009C43FC" w:rsidRPr="009441E2" w14:paraId="3A21D584" w14:textId="77777777" w:rsidTr="00BB1DA2">
        <w:trPr>
          <w:cantSplit/>
          <w:trHeight w:val="1138"/>
        </w:trPr>
        <w:tc>
          <w:tcPr>
            <w:tcW w:w="979" w:type="dxa"/>
            <w:vMerge/>
          </w:tcPr>
          <w:p w14:paraId="122E0DBA" w14:textId="77777777" w:rsidR="009C43FC" w:rsidRDefault="009C43FC" w:rsidP="00A92280">
            <w:pPr>
              <w:pStyle w:val="BodyText"/>
              <w:spacing w:before="120" w:after="0"/>
              <w:rPr>
                <w:rFonts w:eastAsia="Times New Roman"/>
                <w:sz w:val="20"/>
                <w:szCs w:val="20"/>
              </w:rPr>
            </w:pPr>
          </w:p>
        </w:tc>
        <w:tc>
          <w:tcPr>
            <w:tcW w:w="1699" w:type="dxa"/>
            <w:tcBorders>
              <w:top w:val="nil"/>
            </w:tcBorders>
          </w:tcPr>
          <w:p w14:paraId="0BD1563D" w14:textId="77777777" w:rsidR="009C43FC" w:rsidRDefault="009C43FC" w:rsidP="00A92280">
            <w:pPr>
              <w:pStyle w:val="BodyText"/>
              <w:spacing w:before="120" w:after="0"/>
              <w:rPr>
                <w:rFonts w:eastAsia="Times New Roman"/>
                <w:b/>
                <w:sz w:val="20"/>
                <w:szCs w:val="20"/>
              </w:rPr>
            </w:pPr>
          </w:p>
        </w:tc>
        <w:tc>
          <w:tcPr>
            <w:tcW w:w="4125" w:type="dxa"/>
            <w:gridSpan w:val="2"/>
            <w:tcBorders>
              <w:top w:val="nil"/>
            </w:tcBorders>
          </w:tcPr>
          <w:p w14:paraId="78E62871" w14:textId="77777777" w:rsidR="009C43FC" w:rsidRDefault="009C43FC" w:rsidP="00A92280">
            <w:pPr>
              <w:pStyle w:val="BodyText"/>
              <w:spacing w:before="120" w:after="0"/>
              <w:rPr>
                <w:sz w:val="20"/>
              </w:rPr>
            </w:pPr>
          </w:p>
        </w:tc>
        <w:tc>
          <w:tcPr>
            <w:tcW w:w="3545" w:type="dxa"/>
            <w:vMerge/>
          </w:tcPr>
          <w:p w14:paraId="30AA5F6D" w14:textId="77777777" w:rsidR="009C43FC" w:rsidRDefault="009C43FC" w:rsidP="00A92280">
            <w:pPr>
              <w:pStyle w:val="BodyText"/>
              <w:spacing w:before="120" w:after="0"/>
              <w:rPr>
                <w:rFonts w:eastAsia="Times New Roman"/>
                <w:sz w:val="20"/>
                <w:szCs w:val="20"/>
              </w:rPr>
            </w:pPr>
          </w:p>
        </w:tc>
        <w:tc>
          <w:tcPr>
            <w:tcW w:w="425" w:type="dxa"/>
            <w:vMerge/>
            <w:textDirection w:val="btLr"/>
            <w:vAlign w:val="center"/>
          </w:tcPr>
          <w:p w14:paraId="131BB37D" w14:textId="77777777" w:rsidR="009C43FC" w:rsidRDefault="009C43FC" w:rsidP="00A92280">
            <w:pPr>
              <w:jc w:val="center"/>
              <w:rPr>
                <w:rFonts w:eastAsia="Times New Roman"/>
                <w:sz w:val="20"/>
                <w:szCs w:val="20"/>
              </w:rPr>
            </w:pPr>
          </w:p>
        </w:tc>
        <w:tc>
          <w:tcPr>
            <w:tcW w:w="426" w:type="dxa"/>
            <w:vMerge/>
            <w:textDirection w:val="btLr"/>
            <w:vAlign w:val="center"/>
          </w:tcPr>
          <w:p w14:paraId="28C1828D" w14:textId="77777777" w:rsidR="009C43FC" w:rsidRDefault="009C43FC" w:rsidP="00A92280">
            <w:pPr>
              <w:jc w:val="center"/>
              <w:rPr>
                <w:rFonts w:eastAsia="Times New Roman"/>
                <w:sz w:val="20"/>
                <w:szCs w:val="20"/>
              </w:rPr>
            </w:pPr>
          </w:p>
        </w:tc>
        <w:tc>
          <w:tcPr>
            <w:tcW w:w="989" w:type="dxa"/>
            <w:tcBorders>
              <w:top w:val="single" w:sz="4" w:space="0" w:color="auto"/>
            </w:tcBorders>
            <w:shd w:val="clear" w:color="auto" w:fill="FFFF00"/>
            <w:textDirection w:val="btLr"/>
            <w:vAlign w:val="center"/>
          </w:tcPr>
          <w:p w14:paraId="22BA2148" w14:textId="0A9888FD" w:rsidR="009C43FC" w:rsidRDefault="00C35632" w:rsidP="00A92280">
            <w:pPr>
              <w:jc w:val="center"/>
              <w:rPr>
                <w:sz w:val="20"/>
              </w:rPr>
            </w:pPr>
            <w:r>
              <w:rPr>
                <w:sz w:val="20"/>
              </w:rPr>
              <w:t>(</w:t>
            </w:r>
            <w:r w:rsidR="0094380F">
              <w:rPr>
                <w:sz w:val="20"/>
              </w:rPr>
              <w:t>Aug</w:t>
            </w:r>
            <w:r>
              <w:rPr>
                <w:sz w:val="20"/>
              </w:rPr>
              <w:t xml:space="preserve"> 21)</w:t>
            </w:r>
          </w:p>
        </w:tc>
        <w:tc>
          <w:tcPr>
            <w:tcW w:w="5375" w:type="dxa"/>
            <w:tcBorders>
              <w:top w:val="single" w:sz="4" w:space="0" w:color="auto"/>
            </w:tcBorders>
          </w:tcPr>
          <w:p w14:paraId="5EF00DAC" w14:textId="27868B99" w:rsidR="009C43FC" w:rsidRPr="000A3B56" w:rsidRDefault="009C43FC" w:rsidP="00A92280">
            <w:pPr>
              <w:pStyle w:val="BodyText"/>
              <w:spacing w:before="120" w:after="0"/>
              <w:rPr>
                <w:rFonts w:eastAsia="Times New Roman"/>
                <w:b/>
                <w:sz w:val="20"/>
                <w:szCs w:val="20"/>
              </w:rPr>
            </w:pPr>
            <w:r w:rsidRPr="000A3B56">
              <w:rPr>
                <w:rFonts w:eastAsia="Times New Roman"/>
                <w:b/>
                <w:sz w:val="20"/>
                <w:szCs w:val="20"/>
              </w:rPr>
              <w:t>Treatment option 2021/07/E: Support or conduct SAR prevention research.</w:t>
            </w:r>
          </w:p>
          <w:p w14:paraId="599B9AA0" w14:textId="5C1C48C3" w:rsidR="009C43FC" w:rsidRPr="000A3B56" w:rsidRDefault="009C43FC" w:rsidP="00A92280">
            <w:pPr>
              <w:pStyle w:val="BodyText"/>
              <w:spacing w:before="120" w:after="0"/>
              <w:rPr>
                <w:rFonts w:eastAsia="Times New Roman"/>
                <w:bCs/>
                <w:sz w:val="20"/>
                <w:szCs w:val="20"/>
              </w:rPr>
            </w:pPr>
            <w:r w:rsidRPr="000A3B56">
              <w:rPr>
                <w:rFonts w:eastAsia="Times New Roman"/>
                <w:bCs/>
                <w:sz w:val="20"/>
                <w:szCs w:val="20"/>
              </w:rPr>
              <w:t xml:space="preserve">Validate the effectiveness of </w:t>
            </w:r>
            <w:r w:rsidR="001538D0" w:rsidRPr="000A3B56">
              <w:rPr>
                <w:rFonts w:eastAsia="Times New Roman"/>
                <w:bCs/>
                <w:sz w:val="20"/>
                <w:szCs w:val="20"/>
              </w:rPr>
              <w:t xml:space="preserve">selected </w:t>
            </w:r>
            <w:r w:rsidRPr="000A3B56">
              <w:rPr>
                <w:rFonts w:eastAsia="Times New Roman"/>
                <w:bCs/>
                <w:sz w:val="20"/>
                <w:szCs w:val="20"/>
              </w:rPr>
              <w:t xml:space="preserve">prevention activities and campaigns through independent research. Maintain a measure </w:t>
            </w:r>
            <w:r w:rsidR="001538D0" w:rsidRPr="000A3B56">
              <w:rPr>
                <w:rFonts w:eastAsia="Times New Roman"/>
                <w:bCs/>
                <w:sz w:val="20"/>
                <w:szCs w:val="20"/>
              </w:rPr>
              <w:t xml:space="preserve">of </w:t>
            </w:r>
            <w:r w:rsidRPr="000A3B56">
              <w:rPr>
                <w:rFonts w:eastAsia="Times New Roman"/>
                <w:bCs/>
                <w:sz w:val="20"/>
                <w:szCs w:val="20"/>
              </w:rPr>
              <w:t>the public</w:t>
            </w:r>
            <w:r w:rsidR="001538D0" w:rsidRPr="000A3B56">
              <w:rPr>
                <w:rFonts w:eastAsia="Times New Roman"/>
                <w:bCs/>
                <w:sz w:val="20"/>
                <w:szCs w:val="20"/>
              </w:rPr>
              <w:t>’</w:t>
            </w:r>
            <w:r w:rsidRPr="000A3B56">
              <w:rPr>
                <w:rFonts w:eastAsia="Times New Roman"/>
                <w:bCs/>
                <w:sz w:val="20"/>
                <w:szCs w:val="20"/>
              </w:rPr>
              <w:t xml:space="preserve">s expectations of SAR services.  </w:t>
            </w:r>
            <w:r w:rsidR="001538D0" w:rsidRPr="000A3B56">
              <w:rPr>
                <w:rFonts w:eastAsia="Times New Roman"/>
                <w:bCs/>
                <w:sz w:val="20"/>
                <w:szCs w:val="20"/>
              </w:rPr>
              <w:t>Maintain an understanding of how/when/where the public accesses safety information.</w:t>
            </w:r>
            <w:r w:rsidRPr="000A3B56">
              <w:rPr>
                <w:rFonts w:eastAsia="Times New Roman"/>
                <w:bCs/>
                <w:sz w:val="20"/>
                <w:szCs w:val="20"/>
              </w:rPr>
              <w:t xml:space="preserve"> </w:t>
            </w:r>
          </w:p>
        </w:tc>
        <w:tc>
          <w:tcPr>
            <w:tcW w:w="720" w:type="dxa"/>
            <w:gridSpan w:val="2"/>
            <w:tcBorders>
              <w:top w:val="single" w:sz="4" w:space="0" w:color="auto"/>
            </w:tcBorders>
            <w:shd w:val="clear" w:color="auto" w:fill="FFFF00"/>
            <w:textDirection w:val="btLr"/>
            <w:vAlign w:val="center"/>
          </w:tcPr>
          <w:p w14:paraId="4187D34D" w14:textId="77777777" w:rsidR="009C43FC" w:rsidRDefault="009C43FC" w:rsidP="00A92280">
            <w:pPr>
              <w:pStyle w:val="BodyText"/>
              <w:spacing w:before="120" w:after="0"/>
              <w:ind w:left="113" w:right="113"/>
              <w:jc w:val="center"/>
              <w:rPr>
                <w:rFonts w:eastAsia="Times New Roman"/>
                <w:sz w:val="20"/>
                <w:szCs w:val="20"/>
              </w:rPr>
            </w:pPr>
          </w:p>
        </w:tc>
        <w:tc>
          <w:tcPr>
            <w:tcW w:w="854" w:type="dxa"/>
            <w:tcBorders>
              <w:top w:val="single" w:sz="4" w:space="0" w:color="auto"/>
            </w:tcBorders>
            <w:shd w:val="clear" w:color="auto" w:fill="00B050"/>
            <w:textDirection w:val="btLr"/>
            <w:vAlign w:val="center"/>
          </w:tcPr>
          <w:p w14:paraId="12C20F63" w14:textId="493FBA68" w:rsidR="009C43FC" w:rsidRDefault="001538D0" w:rsidP="00A92280">
            <w:pPr>
              <w:pStyle w:val="BodyText"/>
              <w:spacing w:before="120" w:after="0"/>
              <w:ind w:left="113" w:right="113"/>
              <w:jc w:val="center"/>
              <w:rPr>
                <w:rFonts w:eastAsia="Times New Roman"/>
                <w:sz w:val="20"/>
                <w:szCs w:val="20"/>
              </w:rPr>
            </w:pPr>
            <w:r>
              <w:rPr>
                <w:rFonts w:eastAsia="Times New Roman"/>
                <w:sz w:val="20"/>
                <w:szCs w:val="20"/>
              </w:rPr>
              <w:t>2021/22</w:t>
            </w:r>
          </w:p>
        </w:tc>
        <w:tc>
          <w:tcPr>
            <w:tcW w:w="3260" w:type="dxa"/>
            <w:tcBorders>
              <w:top w:val="single" w:sz="4" w:space="0" w:color="auto"/>
            </w:tcBorders>
          </w:tcPr>
          <w:p w14:paraId="39D4F759" w14:textId="77777777" w:rsidR="009C43FC" w:rsidRDefault="009C43FC" w:rsidP="00A92280">
            <w:pPr>
              <w:pStyle w:val="BodyText"/>
              <w:spacing w:before="120" w:after="0"/>
              <w:rPr>
                <w:rFonts w:eastAsia="Times New Roman"/>
                <w:sz w:val="20"/>
                <w:szCs w:val="20"/>
              </w:rPr>
            </w:pPr>
          </w:p>
        </w:tc>
      </w:tr>
    </w:tbl>
    <w:p w14:paraId="2CDF16AD" w14:textId="0575BE19" w:rsidR="001538D0" w:rsidRDefault="001538D0"/>
    <w:p w14:paraId="110A70FE" w14:textId="589D84AF" w:rsidR="001538D0" w:rsidRDefault="001538D0"/>
    <w:p w14:paraId="2DF80132" w14:textId="1E52A9EB" w:rsidR="001538D0" w:rsidRDefault="001538D0"/>
    <w:tbl>
      <w:tblPr>
        <w:tblStyle w:val="TableGrid"/>
        <w:tblW w:w="22397" w:type="dxa"/>
        <w:tblInd w:w="-459" w:type="dxa"/>
        <w:tblLayout w:type="fixed"/>
        <w:tblLook w:val="04A0" w:firstRow="1" w:lastRow="0" w:firstColumn="1" w:lastColumn="0" w:noHBand="0" w:noVBand="1"/>
      </w:tblPr>
      <w:tblGrid>
        <w:gridCol w:w="979"/>
        <w:gridCol w:w="11"/>
        <w:gridCol w:w="1688"/>
        <w:gridCol w:w="12"/>
        <w:gridCol w:w="4106"/>
        <w:gridCol w:w="7"/>
        <w:gridCol w:w="3545"/>
        <w:gridCol w:w="425"/>
        <w:gridCol w:w="426"/>
        <w:gridCol w:w="989"/>
        <w:gridCol w:w="5375"/>
        <w:gridCol w:w="11"/>
        <w:gridCol w:w="709"/>
        <w:gridCol w:w="854"/>
        <w:gridCol w:w="3260"/>
      </w:tblGrid>
      <w:tr w:rsidR="001538D0" w:rsidRPr="00286A2D" w14:paraId="72D79B33" w14:textId="77777777" w:rsidTr="001538D0">
        <w:trPr>
          <w:trHeight w:val="1701"/>
        </w:trPr>
        <w:tc>
          <w:tcPr>
            <w:tcW w:w="979" w:type="dxa"/>
            <w:shd w:val="clear" w:color="auto" w:fill="FABF8F" w:themeFill="accent6" w:themeFillTint="99"/>
            <w:textDirection w:val="btLr"/>
            <w:vAlign w:val="center"/>
          </w:tcPr>
          <w:p w14:paraId="13ED8539" w14:textId="77777777" w:rsidR="001538D0" w:rsidRPr="00286A2D" w:rsidRDefault="001538D0" w:rsidP="001538D0">
            <w:pPr>
              <w:ind w:left="113" w:right="113"/>
              <w:jc w:val="center"/>
              <w:rPr>
                <w:b/>
                <w:sz w:val="20"/>
                <w:szCs w:val="20"/>
              </w:rPr>
            </w:pPr>
            <w:r w:rsidRPr="00286A2D">
              <w:rPr>
                <w:b/>
                <w:sz w:val="20"/>
                <w:szCs w:val="20"/>
              </w:rPr>
              <w:t>Risk #</w:t>
            </w:r>
          </w:p>
        </w:tc>
        <w:tc>
          <w:tcPr>
            <w:tcW w:w="1699" w:type="dxa"/>
            <w:gridSpan w:val="2"/>
            <w:shd w:val="clear" w:color="auto" w:fill="FABF8F" w:themeFill="accent6" w:themeFillTint="99"/>
            <w:vAlign w:val="center"/>
          </w:tcPr>
          <w:p w14:paraId="1A1C8A3D" w14:textId="77777777" w:rsidR="001538D0" w:rsidRPr="00286A2D" w:rsidRDefault="001538D0" w:rsidP="001538D0">
            <w:pPr>
              <w:jc w:val="center"/>
              <w:rPr>
                <w:b/>
                <w:sz w:val="20"/>
                <w:szCs w:val="20"/>
              </w:rPr>
            </w:pPr>
            <w:r w:rsidRPr="00286A2D">
              <w:rPr>
                <w:b/>
                <w:sz w:val="20"/>
                <w:szCs w:val="20"/>
              </w:rPr>
              <w:t>Risk Description</w:t>
            </w:r>
          </w:p>
        </w:tc>
        <w:tc>
          <w:tcPr>
            <w:tcW w:w="4125" w:type="dxa"/>
            <w:gridSpan w:val="3"/>
            <w:shd w:val="clear" w:color="auto" w:fill="FABF8F" w:themeFill="accent6" w:themeFillTint="99"/>
            <w:vAlign w:val="center"/>
          </w:tcPr>
          <w:p w14:paraId="53F01848" w14:textId="77777777" w:rsidR="001538D0" w:rsidRPr="00286A2D" w:rsidRDefault="001538D0" w:rsidP="001538D0">
            <w:pPr>
              <w:jc w:val="center"/>
              <w:rPr>
                <w:b/>
                <w:sz w:val="20"/>
                <w:szCs w:val="20"/>
              </w:rPr>
            </w:pPr>
            <w:r w:rsidRPr="00286A2D">
              <w:rPr>
                <w:b/>
                <w:sz w:val="20"/>
                <w:szCs w:val="20"/>
              </w:rPr>
              <w:t>Reasons or Causes</w:t>
            </w:r>
          </w:p>
        </w:tc>
        <w:tc>
          <w:tcPr>
            <w:tcW w:w="3545" w:type="dxa"/>
            <w:shd w:val="clear" w:color="auto" w:fill="FABF8F" w:themeFill="accent6" w:themeFillTint="99"/>
            <w:vAlign w:val="center"/>
          </w:tcPr>
          <w:p w14:paraId="3CE05EFE" w14:textId="77777777" w:rsidR="001538D0" w:rsidRPr="00286A2D" w:rsidRDefault="001538D0" w:rsidP="001538D0">
            <w:pPr>
              <w:spacing w:line="360" w:lineRule="auto"/>
              <w:jc w:val="center"/>
              <w:rPr>
                <w:b/>
                <w:sz w:val="20"/>
                <w:szCs w:val="20"/>
              </w:rPr>
            </w:pPr>
            <w:r>
              <w:rPr>
                <w:b/>
                <w:sz w:val="20"/>
                <w:szCs w:val="20"/>
              </w:rPr>
              <w:t>Consequences</w:t>
            </w:r>
          </w:p>
        </w:tc>
        <w:tc>
          <w:tcPr>
            <w:tcW w:w="425" w:type="dxa"/>
            <w:shd w:val="clear" w:color="auto" w:fill="FABF8F" w:themeFill="accent6" w:themeFillTint="99"/>
            <w:textDirection w:val="btLr"/>
            <w:vAlign w:val="center"/>
          </w:tcPr>
          <w:p w14:paraId="06A91224" w14:textId="77777777" w:rsidR="001538D0" w:rsidRPr="00286A2D" w:rsidRDefault="001538D0" w:rsidP="001538D0">
            <w:pPr>
              <w:spacing w:line="360" w:lineRule="auto"/>
              <w:ind w:left="113" w:right="113"/>
              <w:jc w:val="center"/>
              <w:rPr>
                <w:b/>
                <w:sz w:val="20"/>
                <w:szCs w:val="20"/>
              </w:rPr>
            </w:pPr>
            <w:r w:rsidRPr="00286A2D">
              <w:rPr>
                <w:b/>
                <w:sz w:val="20"/>
                <w:szCs w:val="20"/>
              </w:rPr>
              <w:t>Probability</w:t>
            </w:r>
          </w:p>
        </w:tc>
        <w:tc>
          <w:tcPr>
            <w:tcW w:w="426" w:type="dxa"/>
            <w:shd w:val="clear" w:color="auto" w:fill="FABF8F" w:themeFill="accent6" w:themeFillTint="99"/>
            <w:textDirection w:val="btLr"/>
            <w:vAlign w:val="center"/>
          </w:tcPr>
          <w:p w14:paraId="1F2996B8" w14:textId="77777777" w:rsidR="001538D0" w:rsidRPr="00286A2D" w:rsidRDefault="001538D0" w:rsidP="001538D0">
            <w:pPr>
              <w:spacing w:line="360" w:lineRule="auto"/>
              <w:jc w:val="center"/>
              <w:rPr>
                <w:b/>
                <w:sz w:val="20"/>
                <w:szCs w:val="20"/>
              </w:rPr>
            </w:pPr>
            <w:r w:rsidRPr="00286A2D">
              <w:rPr>
                <w:b/>
                <w:sz w:val="20"/>
                <w:szCs w:val="20"/>
              </w:rPr>
              <w:t>Impact</w:t>
            </w:r>
          </w:p>
        </w:tc>
        <w:tc>
          <w:tcPr>
            <w:tcW w:w="989" w:type="dxa"/>
            <w:shd w:val="clear" w:color="auto" w:fill="FABF8F" w:themeFill="accent6" w:themeFillTint="99"/>
            <w:textDirection w:val="btLr"/>
            <w:vAlign w:val="center"/>
          </w:tcPr>
          <w:p w14:paraId="1987C7B2" w14:textId="77777777" w:rsidR="001538D0" w:rsidRPr="00286A2D" w:rsidRDefault="001538D0" w:rsidP="001538D0">
            <w:pPr>
              <w:jc w:val="center"/>
              <w:rPr>
                <w:b/>
                <w:sz w:val="20"/>
                <w:szCs w:val="20"/>
              </w:rPr>
            </w:pPr>
            <w:r>
              <w:rPr>
                <w:b/>
                <w:sz w:val="20"/>
                <w:szCs w:val="20"/>
              </w:rPr>
              <w:t xml:space="preserve">Risk </w:t>
            </w:r>
            <w:r w:rsidRPr="00286A2D">
              <w:rPr>
                <w:b/>
                <w:sz w:val="20"/>
                <w:szCs w:val="20"/>
              </w:rPr>
              <w:t>Level</w:t>
            </w:r>
            <w:r>
              <w:rPr>
                <w:b/>
                <w:sz w:val="20"/>
                <w:szCs w:val="20"/>
              </w:rPr>
              <w:t xml:space="preserve"> (Reviewed)</w:t>
            </w:r>
          </w:p>
        </w:tc>
        <w:tc>
          <w:tcPr>
            <w:tcW w:w="5375" w:type="dxa"/>
            <w:shd w:val="clear" w:color="auto" w:fill="FABF8F" w:themeFill="accent6" w:themeFillTint="99"/>
            <w:vAlign w:val="center"/>
          </w:tcPr>
          <w:p w14:paraId="0904A9A5" w14:textId="77777777" w:rsidR="001538D0" w:rsidRPr="00286A2D" w:rsidRDefault="001538D0" w:rsidP="001538D0">
            <w:pPr>
              <w:jc w:val="center"/>
              <w:rPr>
                <w:b/>
                <w:sz w:val="20"/>
                <w:szCs w:val="20"/>
              </w:rPr>
            </w:pPr>
            <w:r>
              <w:rPr>
                <w:b/>
                <w:sz w:val="20"/>
                <w:szCs w:val="20"/>
              </w:rPr>
              <w:t>Risk Treatment(s)</w:t>
            </w:r>
          </w:p>
        </w:tc>
        <w:tc>
          <w:tcPr>
            <w:tcW w:w="720" w:type="dxa"/>
            <w:gridSpan w:val="2"/>
            <w:shd w:val="clear" w:color="auto" w:fill="FABF8F" w:themeFill="accent6" w:themeFillTint="99"/>
            <w:textDirection w:val="btLr"/>
            <w:vAlign w:val="center"/>
          </w:tcPr>
          <w:p w14:paraId="12ECD857" w14:textId="77777777" w:rsidR="001538D0" w:rsidRDefault="001538D0" w:rsidP="001538D0">
            <w:pPr>
              <w:jc w:val="center"/>
              <w:rPr>
                <w:b/>
                <w:sz w:val="20"/>
                <w:szCs w:val="20"/>
              </w:rPr>
            </w:pPr>
            <w:r>
              <w:rPr>
                <w:b/>
                <w:sz w:val="20"/>
                <w:szCs w:val="20"/>
              </w:rPr>
              <w:t>Treatment Implementation</w:t>
            </w:r>
          </w:p>
        </w:tc>
        <w:tc>
          <w:tcPr>
            <w:tcW w:w="854" w:type="dxa"/>
            <w:shd w:val="clear" w:color="auto" w:fill="FABF8F" w:themeFill="accent6" w:themeFillTint="99"/>
            <w:textDirection w:val="btLr"/>
            <w:vAlign w:val="center"/>
          </w:tcPr>
          <w:p w14:paraId="23343A54" w14:textId="77777777" w:rsidR="001538D0" w:rsidRDefault="001538D0" w:rsidP="001538D0">
            <w:pPr>
              <w:jc w:val="center"/>
              <w:rPr>
                <w:b/>
                <w:sz w:val="20"/>
                <w:szCs w:val="20"/>
              </w:rPr>
            </w:pPr>
            <w:r>
              <w:rPr>
                <w:b/>
                <w:sz w:val="20"/>
                <w:szCs w:val="20"/>
              </w:rPr>
              <w:t>Post Treatment</w:t>
            </w:r>
          </w:p>
          <w:p w14:paraId="25AE6F40" w14:textId="77777777" w:rsidR="001538D0" w:rsidRPr="00286A2D" w:rsidRDefault="001538D0" w:rsidP="001538D0">
            <w:pPr>
              <w:ind w:left="113" w:right="113"/>
              <w:jc w:val="center"/>
              <w:rPr>
                <w:b/>
                <w:sz w:val="20"/>
                <w:szCs w:val="20"/>
              </w:rPr>
            </w:pPr>
            <w:r>
              <w:rPr>
                <w:b/>
                <w:sz w:val="20"/>
                <w:szCs w:val="20"/>
              </w:rPr>
              <w:t>Impact</w:t>
            </w:r>
          </w:p>
        </w:tc>
        <w:tc>
          <w:tcPr>
            <w:tcW w:w="3260" w:type="dxa"/>
            <w:shd w:val="clear" w:color="auto" w:fill="FABF8F" w:themeFill="accent6" w:themeFillTint="99"/>
            <w:vAlign w:val="center"/>
          </w:tcPr>
          <w:p w14:paraId="2FEEAFB6" w14:textId="77777777" w:rsidR="001538D0" w:rsidRPr="00286A2D" w:rsidRDefault="001538D0" w:rsidP="001538D0">
            <w:pPr>
              <w:jc w:val="center"/>
              <w:rPr>
                <w:b/>
                <w:sz w:val="20"/>
                <w:szCs w:val="20"/>
              </w:rPr>
            </w:pPr>
            <w:r>
              <w:rPr>
                <w:b/>
                <w:sz w:val="20"/>
                <w:szCs w:val="20"/>
              </w:rPr>
              <w:t>Comments / Examples</w:t>
            </w:r>
          </w:p>
        </w:tc>
      </w:tr>
      <w:tr w:rsidR="00955915" w:rsidRPr="009441E2" w14:paraId="27C35135" w14:textId="77777777" w:rsidTr="001538D0">
        <w:trPr>
          <w:cantSplit/>
          <w:trHeight w:val="1138"/>
        </w:trPr>
        <w:tc>
          <w:tcPr>
            <w:tcW w:w="979" w:type="dxa"/>
            <w:vMerge w:val="restart"/>
            <w:tcBorders>
              <w:top w:val="single" w:sz="4" w:space="0" w:color="auto"/>
            </w:tcBorders>
          </w:tcPr>
          <w:p w14:paraId="6C4BABA5" w14:textId="3A75366C" w:rsidR="009917A4" w:rsidRDefault="009917A4" w:rsidP="00A92280">
            <w:pPr>
              <w:pStyle w:val="BodyText"/>
              <w:spacing w:before="120" w:after="0"/>
              <w:rPr>
                <w:rFonts w:eastAsia="Times New Roman"/>
                <w:sz w:val="20"/>
                <w:szCs w:val="20"/>
              </w:rPr>
            </w:pPr>
            <w:r>
              <w:rPr>
                <w:rFonts w:eastAsia="Times New Roman"/>
                <w:sz w:val="20"/>
                <w:szCs w:val="20"/>
              </w:rPr>
              <w:t>202</w:t>
            </w:r>
            <w:r w:rsidR="003C53F7">
              <w:rPr>
                <w:rFonts w:eastAsia="Times New Roman"/>
                <w:sz w:val="20"/>
                <w:szCs w:val="20"/>
              </w:rPr>
              <w:t>1</w:t>
            </w:r>
            <w:r>
              <w:rPr>
                <w:rFonts w:eastAsia="Times New Roman"/>
                <w:sz w:val="20"/>
                <w:szCs w:val="20"/>
              </w:rPr>
              <w:t>/0</w:t>
            </w:r>
            <w:r w:rsidR="00A92280">
              <w:rPr>
                <w:rFonts w:eastAsia="Times New Roman"/>
                <w:sz w:val="20"/>
                <w:szCs w:val="20"/>
              </w:rPr>
              <w:t>8</w:t>
            </w:r>
          </w:p>
        </w:tc>
        <w:tc>
          <w:tcPr>
            <w:tcW w:w="1699" w:type="dxa"/>
            <w:gridSpan w:val="2"/>
            <w:vMerge w:val="restart"/>
            <w:tcBorders>
              <w:top w:val="single" w:sz="4" w:space="0" w:color="auto"/>
            </w:tcBorders>
          </w:tcPr>
          <w:p w14:paraId="2E04C37E" w14:textId="77777777" w:rsidR="009917A4" w:rsidRDefault="009917A4" w:rsidP="00A92280">
            <w:pPr>
              <w:pStyle w:val="BodyText"/>
              <w:spacing w:before="120" w:after="0"/>
              <w:rPr>
                <w:rFonts w:eastAsia="Times New Roman"/>
                <w:b/>
                <w:sz w:val="20"/>
                <w:szCs w:val="20"/>
              </w:rPr>
            </w:pPr>
            <w:r>
              <w:rPr>
                <w:rFonts w:eastAsia="Times New Roman"/>
                <w:b/>
                <w:sz w:val="20"/>
                <w:szCs w:val="20"/>
              </w:rPr>
              <w:t>SAR Technology</w:t>
            </w:r>
          </w:p>
          <w:p w14:paraId="07CC77A4" w14:textId="77777777" w:rsidR="009917A4" w:rsidRPr="00F545CB" w:rsidRDefault="009917A4" w:rsidP="00A92280">
            <w:pPr>
              <w:pStyle w:val="BodyText"/>
              <w:spacing w:before="120" w:after="0"/>
              <w:rPr>
                <w:rFonts w:eastAsia="Times New Roman"/>
                <w:sz w:val="20"/>
                <w:szCs w:val="20"/>
              </w:rPr>
            </w:pPr>
            <w:r>
              <w:rPr>
                <w:rFonts w:eastAsia="Times New Roman"/>
                <w:sz w:val="20"/>
                <w:szCs w:val="20"/>
              </w:rPr>
              <w:t xml:space="preserve">The </w:t>
            </w:r>
            <w:r w:rsidRPr="00F545CB">
              <w:rPr>
                <w:rFonts w:eastAsia="Times New Roman"/>
                <w:sz w:val="20"/>
                <w:szCs w:val="20"/>
              </w:rPr>
              <w:t xml:space="preserve">SAR </w:t>
            </w:r>
            <w:r>
              <w:rPr>
                <w:rFonts w:eastAsia="Times New Roman"/>
                <w:sz w:val="20"/>
                <w:szCs w:val="20"/>
              </w:rPr>
              <w:t xml:space="preserve">community may not know of or be able to acquire technologies that have the capacity to significantly increase SAR effectiveness.  </w:t>
            </w:r>
            <w:r w:rsidRPr="00F545CB">
              <w:rPr>
                <w:rFonts w:eastAsia="Times New Roman"/>
                <w:sz w:val="20"/>
                <w:szCs w:val="20"/>
              </w:rPr>
              <w:t xml:space="preserve"> </w:t>
            </w:r>
          </w:p>
        </w:tc>
        <w:tc>
          <w:tcPr>
            <w:tcW w:w="4125" w:type="dxa"/>
            <w:gridSpan w:val="3"/>
            <w:tcBorders>
              <w:top w:val="single" w:sz="4" w:space="0" w:color="auto"/>
            </w:tcBorders>
          </w:tcPr>
          <w:p w14:paraId="4A169144" w14:textId="78E4634F" w:rsidR="009917A4" w:rsidRDefault="009917A4" w:rsidP="00A92280">
            <w:pPr>
              <w:pStyle w:val="BodyText"/>
              <w:spacing w:before="120" w:after="0"/>
              <w:rPr>
                <w:sz w:val="20"/>
              </w:rPr>
            </w:pPr>
            <w:r>
              <w:rPr>
                <w:sz w:val="20"/>
              </w:rPr>
              <w:t>Technology development and change occurs at a very fast pace. Technologies which might aid or transform SAR are difficult to identify</w:t>
            </w:r>
            <w:r w:rsidR="00584098">
              <w:rPr>
                <w:sz w:val="20"/>
              </w:rPr>
              <w:t xml:space="preserve">, are </w:t>
            </w:r>
            <w:r>
              <w:rPr>
                <w:sz w:val="20"/>
              </w:rPr>
              <w:t>hard to fund</w:t>
            </w:r>
            <w:r w:rsidR="00584098">
              <w:rPr>
                <w:sz w:val="20"/>
              </w:rPr>
              <w:t xml:space="preserve"> and are often expensive to bring into service and support through their life cycle.</w:t>
            </w:r>
          </w:p>
        </w:tc>
        <w:tc>
          <w:tcPr>
            <w:tcW w:w="3545" w:type="dxa"/>
            <w:vMerge w:val="restart"/>
            <w:tcBorders>
              <w:top w:val="single" w:sz="4" w:space="0" w:color="auto"/>
            </w:tcBorders>
          </w:tcPr>
          <w:p w14:paraId="5FCCF7AB" w14:textId="77777777" w:rsidR="009917A4" w:rsidRDefault="009917A4" w:rsidP="00A92280">
            <w:pPr>
              <w:pStyle w:val="BodyText"/>
              <w:spacing w:before="120" w:after="0"/>
              <w:rPr>
                <w:rFonts w:eastAsia="Times New Roman"/>
                <w:sz w:val="20"/>
                <w:szCs w:val="20"/>
              </w:rPr>
            </w:pPr>
            <w:r>
              <w:rPr>
                <w:rFonts w:eastAsia="Times New Roman"/>
                <w:sz w:val="20"/>
                <w:szCs w:val="20"/>
              </w:rPr>
              <w:t>Non-compatible technologies may hinder our capacity to collaborate and cooperate.</w:t>
            </w:r>
          </w:p>
          <w:p w14:paraId="55464F09" w14:textId="77777777" w:rsidR="009917A4" w:rsidRPr="00E0317D" w:rsidRDefault="009917A4" w:rsidP="00A92280">
            <w:pPr>
              <w:pStyle w:val="BodyText"/>
              <w:spacing w:before="120" w:after="0"/>
              <w:rPr>
                <w:rFonts w:eastAsia="Times New Roman"/>
                <w:color w:val="000000" w:themeColor="text1"/>
                <w:sz w:val="20"/>
                <w:szCs w:val="20"/>
              </w:rPr>
            </w:pPr>
            <w:r w:rsidRPr="00E0317D">
              <w:rPr>
                <w:rFonts w:eastAsia="Times New Roman"/>
                <w:color w:val="000000" w:themeColor="text1"/>
                <w:sz w:val="20"/>
                <w:szCs w:val="20"/>
              </w:rPr>
              <w:t xml:space="preserve">Sector may experience non-optimised or reduced operational effectiveness due to an inability to acquire or access relevant technologies.  </w:t>
            </w:r>
          </w:p>
          <w:p w14:paraId="0552E60A" w14:textId="77777777" w:rsidR="009917A4" w:rsidRPr="00E0317D" w:rsidRDefault="009917A4" w:rsidP="00A92280">
            <w:pPr>
              <w:pStyle w:val="BodyText"/>
              <w:spacing w:before="120" w:after="0"/>
              <w:rPr>
                <w:rFonts w:eastAsia="Times New Roman"/>
                <w:color w:val="000000" w:themeColor="text1"/>
                <w:sz w:val="20"/>
                <w:szCs w:val="20"/>
              </w:rPr>
            </w:pPr>
            <w:r w:rsidRPr="00E0317D">
              <w:rPr>
                <w:rFonts w:eastAsia="Times New Roman"/>
                <w:color w:val="000000" w:themeColor="text1"/>
                <w:sz w:val="20"/>
                <w:szCs w:val="20"/>
              </w:rPr>
              <w:t>Sector may experience non-optimised or reduced operational effectiveness due to non-compatible technologies.</w:t>
            </w:r>
          </w:p>
          <w:p w14:paraId="046B7AF9" w14:textId="4268626E" w:rsidR="009917A4" w:rsidRPr="00DE34C9" w:rsidRDefault="009917A4" w:rsidP="00A92280">
            <w:pPr>
              <w:pStyle w:val="BodyText"/>
              <w:spacing w:before="120" w:after="0"/>
              <w:rPr>
                <w:rFonts w:eastAsia="Times New Roman"/>
                <w:color w:val="000000" w:themeColor="text1"/>
                <w:sz w:val="20"/>
                <w:szCs w:val="20"/>
              </w:rPr>
            </w:pPr>
            <w:r w:rsidRPr="00E0317D">
              <w:rPr>
                <w:rFonts w:eastAsia="Times New Roman"/>
                <w:color w:val="000000" w:themeColor="text1"/>
                <w:sz w:val="20"/>
                <w:szCs w:val="20"/>
              </w:rPr>
              <w:t>The sector may be criticised and suffer reputational damage for not utilising the most appropriate and effective technology for an operation.</w:t>
            </w:r>
          </w:p>
        </w:tc>
        <w:tc>
          <w:tcPr>
            <w:tcW w:w="425" w:type="dxa"/>
            <w:vMerge w:val="restart"/>
            <w:tcBorders>
              <w:top w:val="single" w:sz="4" w:space="0" w:color="auto"/>
            </w:tcBorders>
            <w:textDirection w:val="btLr"/>
            <w:vAlign w:val="center"/>
          </w:tcPr>
          <w:p w14:paraId="2A5949F2" w14:textId="77777777" w:rsidR="009917A4" w:rsidRDefault="009917A4" w:rsidP="00A92280">
            <w:pPr>
              <w:jc w:val="center"/>
              <w:rPr>
                <w:rFonts w:eastAsia="Times New Roman"/>
                <w:sz w:val="20"/>
                <w:szCs w:val="20"/>
              </w:rPr>
            </w:pPr>
            <w:r>
              <w:rPr>
                <w:rFonts w:eastAsia="Times New Roman"/>
                <w:sz w:val="20"/>
                <w:szCs w:val="20"/>
              </w:rPr>
              <w:t>Likely</w:t>
            </w:r>
          </w:p>
        </w:tc>
        <w:tc>
          <w:tcPr>
            <w:tcW w:w="426" w:type="dxa"/>
            <w:vMerge w:val="restart"/>
            <w:tcBorders>
              <w:top w:val="single" w:sz="4" w:space="0" w:color="auto"/>
            </w:tcBorders>
            <w:textDirection w:val="btLr"/>
            <w:vAlign w:val="center"/>
          </w:tcPr>
          <w:p w14:paraId="3E769830" w14:textId="77777777" w:rsidR="009917A4" w:rsidRDefault="009917A4" w:rsidP="00A92280">
            <w:pPr>
              <w:jc w:val="center"/>
              <w:rPr>
                <w:rFonts w:eastAsia="Times New Roman"/>
                <w:sz w:val="20"/>
                <w:szCs w:val="20"/>
              </w:rPr>
            </w:pPr>
            <w:r>
              <w:rPr>
                <w:rFonts w:eastAsia="Times New Roman"/>
                <w:sz w:val="20"/>
                <w:szCs w:val="20"/>
              </w:rPr>
              <w:t>Moderate</w:t>
            </w:r>
          </w:p>
        </w:tc>
        <w:tc>
          <w:tcPr>
            <w:tcW w:w="989" w:type="dxa"/>
            <w:vMerge w:val="restart"/>
            <w:tcBorders>
              <w:top w:val="single" w:sz="4" w:space="0" w:color="auto"/>
            </w:tcBorders>
            <w:shd w:val="clear" w:color="auto" w:fill="00B050"/>
            <w:textDirection w:val="btLr"/>
            <w:vAlign w:val="center"/>
          </w:tcPr>
          <w:p w14:paraId="66B94A05" w14:textId="77777777" w:rsidR="009917A4" w:rsidRDefault="009917A4" w:rsidP="00A92280">
            <w:pPr>
              <w:jc w:val="center"/>
              <w:rPr>
                <w:sz w:val="20"/>
              </w:rPr>
            </w:pPr>
            <w:r>
              <w:rPr>
                <w:sz w:val="20"/>
              </w:rPr>
              <w:t>(Oct 19)</w:t>
            </w:r>
          </w:p>
        </w:tc>
        <w:tc>
          <w:tcPr>
            <w:tcW w:w="5375" w:type="dxa"/>
            <w:tcBorders>
              <w:top w:val="single" w:sz="4" w:space="0" w:color="auto"/>
            </w:tcBorders>
          </w:tcPr>
          <w:p w14:paraId="6D5980D3" w14:textId="7BF15FEB" w:rsidR="009917A4" w:rsidRPr="00263756" w:rsidRDefault="009917A4" w:rsidP="00A92280">
            <w:pPr>
              <w:pStyle w:val="BodyText"/>
              <w:spacing w:before="120" w:after="0"/>
              <w:rPr>
                <w:sz w:val="20"/>
                <w:szCs w:val="20"/>
              </w:rPr>
            </w:pPr>
            <w:r>
              <w:rPr>
                <w:rFonts w:eastAsia="Times New Roman"/>
                <w:b/>
                <w:sz w:val="20"/>
                <w:szCs w:val="20"/>
              </w:rPr>
              <w:t>Treatment Option 202</w:t>
            </w:r>
            <w:r w:rsidR="003C53F7">
              <w:rPr>
                <w:rFonts w:eastAsia="Times New Roman"/>
                <w:b/>
                <w:sz w:val="20"/>
                <w:szCs w:val="20"/>
              </w:rPr>
              <w:t>1</w:t>
            </w:r>
            <w:r>
              <w:rPr>
                <w:rFonts w:eastAsia="Times New Roman"/>
                <w:b/>
                <w:sz w:val="20"/>
                <w:szCs w:val="20"/>
              </w:rPr>
              <w:t>/0</w:t>
            </w:r>
            <w:r w:rsidR="008A2A89">
              <w:rPr>
                <w:rFonts w:eastAsia="Times New Roman"/>
                <w:b/>
                <w:sz w:val="20"/>
                <w:szCs w:val="20"/>
              </w:rPr>
              <w:t>8</w:t>
            </w:r>
            <w:r w:rsidRPr="00F545CB">
              <w:rPr>
                <w:rFonts w:eastAsia="Times New Roman"/>
                <w:b/>
                <w:sz w:val="20"/>
                <w:szCs w:val="20"/>
              </w:rPr>
              <w:t xml:space="preserve">/A:  </w:t>
            </w:r>
            <w:r w:rsidR="00584098">
              <w:rPr>
                <w:rFonts w:eastAsia="Times New Roman"/>
                <w:b/>
                <w:sz w:val="20"/>
                <w:szCs w:val="20"/>
              </w:rPr>
              <w:t xml:space="preserve">SAR Sector Technology Workshops.  </w:t>
            </w:r>
            <w:r w:rsidRPr="00F545CB">
              <w:rPr>
                <w:sz w:val="20"/>
                <w:szCs w:val="20"/>
              </w:rPr>
              <w:t xml:space="preserve">Organise occasional SAR technology workshops to identify technological trends and opportunities relevant to SAR. </w:t>
            </w:r>
          </w:p>
        </w:tc>
        <w:tc>
          <w:tcPr>
            <w:tcW w:w="720" w:type="dxa"/>
            <w:gridSpan w:val="2"/>
            <w:tcBorders>
              <w:top w:val="single" w:sz="4" w:space="0" w:color="auto"/>
            </w:tcBorders>
            <w:shd w:val="clear" w:color="auto" w:fill="FFFF00"/>
            <w:textDirection w:val="btLr"/>
            <w:vAlign w:val="center"/>
          </w:tcPr>
          <w:p w14:paraId="1DB004C8" w14:textId="77777777" w:rsidR="009917A4" w:rsidRDefault="009917A4" w:rsidP="00A92280">
            <w:pPr>
              <w:pStyle w:val="BodyText"/>
              <w:spacing w:before="120" w:after="0"/>
              <w:ind w:left="113" w:right="113"/>
              <w:jc w:val="center"/>
              <w:rPr>
                <w:rFonts w:eastAsia="Times New Roman"/>
                <w:sz w:val="20"/>
                <w:szCs w:val="20"/>
              </w:rPr>
            </w:pPr>
            <w:r>
              <w:rPr>
                <w:rFonts w:eastAsia="Times New Roman"/>
                <w:sz w:val="20"/>
                <w:szCs w:val="20"/>
              </w:rPr>
              <w:t>Partial</w:t>
            </w:r>
          </w:p>
        </w:tc>
        <w:tc>
          <w:tcPr>
            <w:tcW w:w="854" w:type="dxa"/>
            <w:tcBorders>
              <w:top w:val="single" w:sz="4" w:space="0" w:color="auto"/>
            </w:tcBorders>
            <w:shd w:val="clear" w:color="auto" w:fill="FFFF00"/>
            <w:textDirection w:val="btLr"/>
            <w:vAlign w:val="center"/>
          </w:tcPr>
          <w:p w14:paraId="04B43651" w14:textId="1C866CBB" w:rsidR="009917A4" w:rsidRDefault="00BA0E5C" w:rsidP="00A92280">
            <w:pPr>
              <w:pStyle w:val="BodyText"/>
              <w:spacing w:before="120" w:after="0"/>
              <w:ind w:left="113" w:right="113"/>
              <w:jc w:val="center"/>
              <w:rPr>
                <w:rFonts w:eastAsia="Times New Roman"/>
                <w:sz w:val="20"/>
                <w:szCs w:val="20"/>
              </w:rPr>
            </w:pPr>
            <w:r>
              <w:rPr>
                <w:rFonts w:eastAsia="Times New Roman"/>
                <w:sz w:val="20"/>
                <w:szCs w:val="20"/>
              </w:rPr>
              <w:t>2021</w:t>
            </w:r>
          </w:p>
        </w:tc>
        <w:tc>
          <w:tcPr>
            <w:tcW w:w="3260" w:type="dxa"/>
            <w:tcBorders>
              <w:top w:val="single" w:sz="4" w:space="0" w:color="auto"/>
            </w:tcBorders>
          </w:tcPr>
          <w:p w14:paraId="109463BF" w14:textId="364E876D" w:rsidR="009917A4" w:rsidRPr="009441E2" w:rsidRDefault="00BA0E5C" w:rsidP="00A92280">
            <w:pPr>
              <w:pStyle w:val="BodyText"/>
              <w:spacing w:before="120" w:after="0"/>
              <w:rPr>
                <w:rFonts w:eastAsia="Times New Roman"/>
                <w:sz w:val="20"/>
                <w:szCs w:val="20"/>
              </w:rPr>
            </w:pPr>
            <w:r>
              <w:rPr>
                <w:rFonts w:eastAsia="Times New Roman"/>
                <w:sz w:val="20"/>
                <w:szCs w:val="20"/>
              </w:rPr>
              <w:t>Workshop planned for 2020/21 – resource dependent</w:t>
            </w:r>
          </w:p>
        </w:tc>
      </w:tr>
      <w:tr w:rsidR="00955915" w:rsidRPr="009441E2" w14:paraId="3DFA2AF8" w14:textId="77777777" w:rsidTr="001538D0">
        <w:trPr>
          <w:cantSplit/>
          <w:trHeight w:val="1494"/>
        </w:trPr>
        <w:tc>
          <w:tcPr>
            <w:tcW w:w="979" w:type="dxa"/>
            <w:vMerge/>
            <w:tcBorders>
              <w:bottom w:val="single" w:sz="4" w:space="0" w:color="auto"/>
            </w:tcBorders>
          </w:tcPr>
          <w:p w14:paraId="0B0F2849" w14:textId="77777777" w:rsidR="009917A4" w:rsidRDefault="009917A4" w:rsidP="00A92280">
            <w:pPr>
              <w:pStyle w:val="BodyText"/>
              <w:spacing w:before="120" w:after="0"/>
              <w:rPr>
                <w:rFonts w:eastAsia="Times New Roman"/>
                <w:sz w:val="20"/>
                <w:szCs w:val="20"/>
              </w:rPr>
            </w:pPr>
          </w:p>
        </w:tc>
        <w:tc>
          <w:tcPr>
            <w:tcW w:w="1699" w:type="dxa"/>
            <w:gridSpan w:val="2"/>
            <w:vMerge/>
            <w:tcBorders>
              <w:bottom w:val="single" w:sz="4" w:space="0" w:color="auto"/>
            </w:tcBorders>
          </w:tcPr>
          <w:p w14:paraId="5F893DAD" w14:textId="77777777" w:rsidR="009917A4" w:rsidRDefault="009917A4" w:rsidP="00A92280">
            <w:pPr>
              <w:pStyle w:val="BodyText"/>
              <w:spacing w:before="120" w:after="0"/>
              <w:rPr>
                <w:rFonts w:eastAsia="Times New Roman"/>
                <w:b/>
                <w:sz w:val="20"/>
                <w:szCs w:val="20"/>
              </w:rPr>
            </w:pPr>
          </w:p>
        </w:tc>
        <w:tc>
          <w:tcPr>
            <w:tcW w:w="4125" w:type="dxa"/>
            <w:gridSpan w:val="3"/>
            <w:tcBorders>
              <w:bottom w:val="single" w:sz="4" w:space="0" w:color="auto"/>
            </w:tcBorders>
          </w:tcPr>
          <w:p w14:paraId="2F1008CA" w14:textId="77777777" w:rsidR="009917A4" w:rsidRPr="00E0317D" w:rsidRDefault="009917A4" w:rsidP="00A92280">
            <w:pPr>
              <w:pStyle w:val="BodyText"/>
              <w:spacing w:before="120" w:after="0"/>
              <w:rPr>
                <w:color w:val="000000" w:themeColor="text1"/>
                <w:sz w:val="20"/>
              </w:rPr>
            </w:pPr>
            <w:r w:rsidRPr="00E0317D">
              <w:rPr>
                <w:color w:val="000000" w:themeColor="text1"/>
                <w:sz w:val="20"/>
              </w:rPr>
              <w:t>Different SAR agencies might select different, non-compatible SAR technologies.</w:t>
            </w:r>
          </w:p>
        </w:tc>
        <w:tc>
          <w:tcPr>
            <w:tcW w:w="3545" w:type="dxa"/>
            <w:vMerge/>
            <w:tcBorders>
              <w:bottom w:val="single" w:sz="4" w:space="0" w:color="auto"/>
            </w:tcBorders>
          </w:tcPr>
          <w:p w14:paraId="152DF94A" w14:textId="77777777" w:rsidR="009917A4" w:rsidRPr="00E0317D" w:rsidRDefault="009917A4" w:rsidP="00A92280">
            <w:pPr>
              <w:pStyle w:val="BodyText"/>
              <w:spacing w:before="120" w:after="0"/>
              <w:rPr>
                <w:rFonts w:eastAsia="Times New Roman"/>
                <w:color w:val="000000" w:themeColor="text1"/>
                <w:sz w:val="20"/>
                <w:szCs w:val="20"/>
              </w:rPr>
            </w:pPr>
          </w:p>
        </w:tc>
        <w:tc>
          <w:tcPr>
            <w:tcW w:w="425" w:type="dxa"/>
            <w:vMerge/>
            <w:tcBorders>
              <w:bottom w:val="single" w:sz="4" w:space="0" w:color="auto"/>
            </w:tcBorders>
            <w:textDirection w:val="btLr"/>
            <w:vAlign w:val="center"/>
          </w:tcPr>
          <w:p w14:paraId="1FC13F70" w14:textId="77777777" w:rsidR="009917A4" w:rsidRPr="00E0317D" w:rsidRDefault="009917A4" w:rsidP="00A92280">
            <w:pPr>
              <w:jc w:val="center"/>
              <w:rPr>
                <w:rFonts w:eastAsia="Times New Roman"/>
                <w:color w:val="000000" w:themeColor="text1"/>
                <w:sz w:val="20"/>
                <w:szCs w:val="20"/>
              </w:rPr>
            </w:pPr>
          </w:p>
        </w:tc>
        <w:tc>
          <w:tcPr>
            <w:tcW w:w="426" w:type="dxa"/>
            <w:vMerge/>
            <w:tcBorders>
              <w:bottom w:val="single" w:sz="4" w:space="0" w:color="auto"/>
            </w:tcBorders>
            <w:textDirection w:val="btLr"/>
            <w:vAlign w:val="center"/>
          </w:tcPr>
          <w:p w14:paraId="53AB5DF7" w14:textId="77777777" w:rsidR="009917A4" w:rsidRPr="00E0317D" w:rsidRDefault="009917A4" w:rsidP="00A92280">
            <w:pPr>
              <w:jc w:val="center"/>
              <w:rPr>
                <w:rFonts w:eastAsia="Times New Roman"/>
                <w:color w:val="000000" w:themeColor="text1"/>
                <w:sz w:val="20"/>
                <w:szCs w:val="20"/>
              </w:rPr>
            </w:pPr>
          </w:p>
        </w:tc>
        <w:tc>
          <w:tcPr>
            <w:tcW w:w="989" w:type="dxa"/>
            <w:vMerge/>
            <w:tcBorders>
              <w:bottom w:val="single" w:sz="4" w:space="0" w:color="auto"/>
            </w:tcBorders>
            <w:shd w:val="clear" w:color="auto" w:fill="00B050"/>
            <w:textDirection w:val="btLr"/>
            <w:vAlign w:val="center"/>
          </w:tcPr>
          <w:p w14:paraId="7040A1FF" w14:textId="77777777" w:rsidR="009917A4" w:rsidRPr="00E0317D" w:rsidRDefault="009917A4" w:rsidP="00A92280">
            <w:pPr>
              <w:jc w:val="center"/>
              <w:rPr>
                <w:color w:val="000000" w:themeColor="text1"/>
                <w:sz w:val="20"/>
              </w:rPr>
            </w:pPr>
          </w:p>
        </w:tc>
        <w:tc>
          <w:tcPr>
            <w:tcW w:w="5375" w:type="dxa"/>
            <w:vMerge w:val="restart"/>
            <w:tcBorders>
              <w:bottom w:val="single" w:sz="4" w:space="0" w:color="auto"/>
            </w:tcBorders>
          </w:tcPr>
          <w:p w14:paraId="7A93A899" w14:textId="061046D4" w:rsidR="009917A4" w:rsidRPr="00E0317D" w:rsidRDefault="009917A4" w:rsidP="00A92280">
            <w:pPr>
              <w:pStyle w:val="BodyText"/>
              <w:spacing w:before="120" w:after="0"/>
              <w:rPr>
                <w:color w:val="000000" w:themeColor="text1"/>
                <w:sz w:val="20"/>
                <w:szCs w:val="20"/>
              </w:rPr>
            </w:pPr>
            <w:r w:rsidRPr="00E0317D">
              <w:rPr>
                <w:rFonts w:eastAsia="Times New Roman"/>
                <w:b/>
                <w:color w:val="000000" w:themeColor="text1"/>
                <w:sz w:val="20"/>
                <w:szCs w:val="20"/>
              </w:rPr>
              <w:t xml:space="preserve">Treatment Option </w:t>
            </w:r>
            <w:r>
              <w:rPr>
                <w:rFonts w:eastAsia="Times New Roman"/>
                <w:b/>
                <w:color w:val="000000" w:themeColor="text1"/>
                <w:sz w:val="20"/>
                <w:szCs w:val="20"/>
              </w:rPr>
              <w:t>202</w:t>
            </w:r>
            <w:r w:rsidR="003C53F7">
              <w:rPr>
                <w:rFonts w:eastAsia="Times New Roman"/>
                <w:b/>
                <w:color w:val="000000" w:themeColor="text1"/>
                <w:sz w:val="20"/>
                <w:szCs w:val="20"/>
              </w:rPr>
              <w:t>1</w:t>
            </w:r>
            <w:r w:rsidRPr="00E0317D">
              <w:rPr>
                <w:rFonts w:eastAsia="Times New Roman"/>
                <w:b/>
                <w:color w:val="000000" w:themeColor="text1"/>
                <w:sz w:val="20"/>
                <w:szCs w:val="20"/>
              </w:rPr>
              <w:t>/0</w:t>
            </w:r>
            <w:r w:rsidR="002A30A0">
              <w:rPr>
                <w:rFonts w:eastAsia="Times New Roman"/>
                <w:b/>
                <w:color w:val="000000" w:themeColor="text1"/>
                <w:sz w:val="20"/>
                <w:szCs w:val="20"/>
              </w:rPr>
              <w:t>8</w:t>
            </w:r>
            <w:r w:rsidRPr="00E0317D">
              <w:rPr>
                <w:rFonts w:eastAsia="Times New Roman"/>
                <w:b/>
                <w:color w:val="000000" w:themeColor="text1"/>
                <w:sz w:val="20"/>
                <w:szCs w:val="20"/>
              </w:rPr>
              <w:t xml:space="preserve">/B:  </w:t>
            </w:r>
            <w:r w:rsidR="00584098">
              <w:rPr>
                <w:rFonts w:eastAsia="Times New Roman"/>
                <w:b/>
                <w:color w:val="000000" w:themeColor="text1"/>
                <w:sz w:val="20"/>
                <w:szCs w:val="20"/>
              </w:rPr>
              <w:t xml:space="preserve">Monitor technologies relevant to SAR. </w:t>
            </w:r>
            <w:r w:rsidRPr="00E0317D">
              <w:rPr>
                <w:color w:val="000000" w:themeColor="text1"/>
                <w:sz w:val="20"/>
                <w:szCs w:val="20"/>
              </w:rPr>
              <w:t>Monitor</w:t>
            </w:r>
            <w:r w:rsidR="00584098">
              <w:rPr>
                <w:color w:val="000000" w:themeColor="text1"/>
                <w:sz w:val="20"/>
                <w:szCs w:val="20"/>
              </w:rPr>
              <w:t xml:space="preserve">, </w:t>
            </w:r>
            <w:r w:rsidRPr="00E0317D">
              <w:rPr>
                <w:color w:val="000000" w:themeColor="text1"/>
                <w:sz w:val="20"/>
                <w:szCs w:val="20"/>
              </w:rPr>
              <w:t>report</w:t>
            </w:r>
            <w:r w:rsidR="00584098">
              <w:rPr>
                <w:color w:val="000000" w:themeColor="text1"/>
                <w:sz w:val="20"/>
                <w:szCs w:val="20"/>
              </w:rPr>
              <w:t xml:space="preserve"> and </w:t>
            </w:r>
            <w:r w:rsidR="00D60822">
              <w:rPr>
                <w:color w:val="000000" w:themeColor="text1"/>
                <w:sz w:val="20"/>
                <w:szCs w:val="20"/>
              </w:rPr>
              <w:t xml:space="preserve">advise </w:t>
            </w:r>
            <w:r w:rsidR="00D60822" w:rsidRPr="00E0317D">
              <w:rPr>
                <w:color w:val="000000" w:themeColor="text1"/>
                <w:sz w:val="20"/>
                <w:szCs w:val="20"/>
              </w:rPr>
              <w:t>on</w:t>
            </w:r>
            <w:r w:rsidRPr="00E0317D">
              <w:rPr>
                <w:color w:val="000000" w:themeColor="text1"/>
                <w:sz w:val="20"/>
                <w:szCs w:val="20"/>
              </w:rPr>
              <w:t xml:space="preserve"> technologies relevant to SAR</w:t>
            </w:r>
            <w:r w:rsidR="00584098">
              <w:rPr>
                <w:color w:val="000000" w:themeColor="text1"/>
                <w:sz w:val="20"/>
                <w:szCs w:val="20"/>
              </w:rPr>
              <w:t xml:space="preserve"> (operation and prevention)</w:t>
            </w:r>
            <w:r w:rsidRPr="00E0317D">
              <w:rPr>
                <w:color w:val="000000" w:themeColor="text1"/>
                <w:sz w:val="20"/>
                <w:szCs w:val="20"/>
              </w:rPr>
              <w:t xml:space="preserve">. </w:t>
            </w:r>
          </w:p>
        </w:tc>
        <w:tc>
          <w:tcPr>
            <w:tcW w:w="720" w:type="dxa"/>
            <w:gridSpan w:val="2"/>
            <w:vMerge w:val="restart"/>
            <w:tcBorders>
              <w:bottom w:val="single" w:sz="4" w:space="0" w:color="auto"/>
            </w:tcBorders>
            <w:shd w:val="clear" w:color="auto" w:fill="FFFF00"/>
            <w:textDirection w:val="btLr"/>
            <w:vAlign w:val="center"/>
          </w:tcPr>
          <w:p w14:paraId="0DB7E441" w14:textId="77777777" w:rsidR="009917A4" w:rsidRDefault="009917A4" w:rsidP="00A92280">
            <w:pPr>
              <w:pStyle w:val="BodyText"/>
              <w:spacing w:before="120" w:after="0"/>
              <w:ind w:left="-113" w:firstLine="113"/>
              <w:jc w:val="center"/>
              <w:rPr>
                <w:rFonts w:eastAsia="Times New Roman"/>
                <w:sz w:val="20"/>
                <w:szCs w:val="20"/>
              </w:rPr>
            </w:pPr>
            <w:r>
              <w:rPr>
                <w:rFonts w:eastAsia="Times New Roman"/>
                <w:sz w:val="20"/>
                <w:szCs w:val="20"/>
              </w:rPr>
              <w:t>Partial</w:t>
            </w:r>
          </w:p>
        </w:tc>
        <w:tc>
          <w:tcPr>
            <w:tcW w:w="854" w:type="dxa"/>
            <w:vMerge w:val="restart"/>
            <w:tcBorders>
              <w:bottom w:val="single" w:sz="4" w:space="0" w:color="auto"/>
            </w:tcBorders>
            <w:shd w:val="clear" w:color="auto" w:fill="00B050"/>
            <w:textDirection w:val="btLr"/>
            <w:vAlign w:val="center"/>
          </w:tcPr>
          <w:p w14:paraId="62BC5007" w14:textId="77777777" w:rsidR="009917A4" w:rsidRDefault="009917A4" w:rsidP="00A92280">
            <w:pPr>
              <w:pStyle w:val="BodyText"/>
              <w:spacing w:before="120" w:after="0"/>
              <w:ind w:left="113" w:right="113"/>
              <w:jc w:val="center"/>
              <w:rPr>
                <w:rFonts w:eastAsia="Times New Roman"/>
                <w:sz w:val="20"/>
                <w:szCs w:val="20"/>
              </w:rPr>
            </w:pPr>
          </w:p>
        </w:tc>
        <w:tc>
          <w:tcPr>
            <w:tcW w:w="3260" w:type="dxa"/>
            <w:vMerge w:val="restart"/>
            <w:tcBorders>
              <w:bottom w:val="single" w:sz="4" w:space="0" w:color="auto"/>
            </w:tcBorders>
          </w:tcPr>
          <w:p w14:paraId="6D570225" w14:textId="3CB9E747" w:rsidR="009917A4" w:rsidRPr="009441E2" w:rsidRDefault="009917A4" w:rsidP="00A92280">
            <w:pPr>
              <w:pStyle w:val="BodyText"/>
              <w:spacing w:before="120" w:after="0"/>
              <w:rPr>
                <w:rFonts w:eastAsia="Times New Roman"/>
                <w:sz w:val="20"/>
                <w:szCs w:val="20"/>
              </w:rPr>
            </w:pPr>
            <w:r>
              <w:rPr>
                <w:rFonts w:eastAsia="Times New Roman"/>
                <w:sz w:val="20"/>
                <w:szCs w:val="20"/>
              </w:rPr>
              <w:t>Difficult to coordinate agencies</w:t>
            </w:r>
            <w:r w:rsidR="00BA0E5C">
              <w:rPr>
                <w:rFonts w:eastAsia="Times New Roman"/>
                <w:sz w:val="20"/>
                <w:szCs w:val="20"/>
              </w:rPr>
              <w:t xml:space="preserve">, discover their initiatives </w:t>
            </w:r>
            <w:r w:rsidR="00584098">
              <w:rPr>
                <w:rFonts w:eastAsia="Times New Roman"/>
                <w:sz w:val="20"/>
                <w:szCs w:val="20"/>
              </w:rPr>
              <w:t>and disseminate</w:t>
            </w:r>
            <w:r>
              <w:rPr>
                <w:rFonts w:eastAsia="Times New Roman"/>
                <w:sz w:val="20"/>
                <w:szCs w:val="20"/>
              </w:rPr>
              <w:t xml:space="preserve"> information</w:t>
            </w:r>
            <w:r w:rsidRPr="009441E2">
              <w:rPr>
                <w:rFonts w:eastAsia="Times New Roman"/>
                <w:sz w:val="20"/>
                <w:szCs w:val="20"/>
              </w:rPr>
              <w:t xml:space="preserve"> </w:t>
            </w:r>
          </w:p>
        </w:tc>
      </w:tr>
      <w:tr w:rsidR="00955915" w:rsidRPr="009441E2" w14:paraId="06FE4A79" w14:textId="77777777" w:rsidTr="001538D0">
        <w:trPr>
          <w:cantSplit/>
          <w:trHeight w:val="350"/>
        </w:trPr>
        <w:tc>
          <w:tcPr>
            <w:tcW w:w="979" w:type="dxa"/>
            <w:vMerge/>
          </w:tcPr>
          <w:p w14:paraId="414F4ABA" w14:textId="77777777" w:rsidR="009917A4" w:rsidRDefault="009917A4" w:rsidP="00A92280">
            <w:pPr>
              <w:pStyle w:val="BodyText"/>
              <w:spacing w:before="120" w:after="0"/>
              <w:rPr>
                <w:rFonts w:eastAsia="Times New Roman"/>
                <w:sz w:val="20"/>
                <w:szCs w:val="20"/>
              </w:rPr>
            </w:pPr>
          </w:p>
        </w:tc>
        <w:tc>
          <w:tcPr>
            <w:tcW w:w="1699" w:type="dxa"/>
            <w:gridSpan w:val="2"/>
            <w:vMerge/>
          </w:tcPr>
          <w:p w14:paraId="19F2AB39" w14:textId="77777777" w:rsidR="009917A4" w:rsidRDefault="009917A4" w:rsidP="00A92280">
            <w:pPr>
              <w:pStyle w:val="BodyText"/>
              <w:spacing w:before="120" w:after="0"/>
              <w:rPr>
                <w:rFonts w:eastAsia="Times New Roman"/>
                <w:b/>
                <w:sz w:val="20"/>
                <w:szCs w:val="20"/>
              </w:rPr>
            </w:pPr>
          </w:p>
        </w:tc>
        <w:tc>
          <w:tcPr>
            <w:tcW w:w="4125" w:type="dxa"/>
            <w:gridSpan w:val="3"/>
            <w:vMerge w:val="restart"/>
          </w:tcPr>
          <w:p w14:paraId="366D5E3F" w14:textId="364576D7" w:rsidR="009917A4" w:rsidRPr="00E0317D" w:rsidRDefault="009917A4" w:rsidP="00A92280">
            <w:pPr>
              <w:pStyle w:val="BodyText"/>
              <w:spacing w:before="120" w:after="0"/>
              <w:rPr>
                <w:rFonts w:eastAsia="Times New Roman"/>
                <w:color w:val="000000" w:themeColor="text1"/>
                <w:sz w:val="20"/>
                <w:szCs w:val="20"/>
              </w:rPr>
            </w:pPr>
            <w:r w:rsidRPr="00E0317D">
              <w:rPr>
                <w:rFonts w:eastAsia="Times New Roman"/>
                <w:color w:val="000000" w:themeColor="text1"/>
                <w:sz w:val="20"/>
                <w:szCs w:val="20"/>
              </w:rPr>
              <w:t>Acquisition, maintenance, training for the use of relevant SAR technologies is affected by funding sufficiency and/or volatility (see Risk 2018/02)</w:t>
            </w:r>
          </w:p>
        </w:tc>
        <w:tc>
          <w:tcPr>
            <w:tcW w:w="3545" w:type="dxa"/>
            <w:vMerge/>
          </w:tcPr>
          <w:p w14:paraId="1CC56770" w14:textId="77777777" w:rsidR="009917A4" w:rsidRPr="00E0317D" w:rsidRDefault="009917A4" w:rsidP="00A92280">
            <w:pPr>
              <w:pStyle w:val="BodyText"/>
              <w:spacing w:before="120" w:after="0"/>
              <w:rPr>
                <w:rFonts w:eastAsia="Times New Roman"/>
                <w:color w:val="000000" w:themeColor="text1"/>
                <w:sz w:val="20"/>
                <w:szCs w:val="20"/>
              </w:rPr>
            </w:pPr>
          </w:p>
        </w:tc>
        <w:tc>
          <w:tcPr>
            <w:tcW w:w="425" w:type="dxa"/>
            <w:vMerge/>
            <w:textDirection w:val="btLr"/>
            <w:vAlign w:val="center"/>
          </w:tcPr>
          <w:p w14:paraId="5C1DF147" w14:textId="77777777" w:rsidR="009917A4" w:rsidRPr="00E0317D" w:rsidRDefault="009917A4" w:rsidP="00A92280">
            <w:pPr>
              <w:jc w:val="center"/>
              <w:rPr>
                <w:rFonts w:eastAsia="Times New Roman"/>
                <w:color w:val="000000" w:themeColor="text1"/>
                <w:sz w:val="20"/>
                <w:szCs w:val="20"/>
              </w:rPr>
            </w:pPr>
          </w:p>
        </w:tc>
        <w:tc>
          <w:tcPr>
            <w:tcW w:w="426" w:type="dxa"/>
            <w:vMerge/>
            <w:textDirection w:val="btLr"/>
            <w:vAlign w:val="center"/>
          </w:tcPr>
          <w:p w14:paraId="03BE167A" w14:textId="77777777" w:rsidR="009917A4" w:rsidRPr="00E0317D" w:rsidRDefault="009917A4" w:rsidP="00A92280">
            <w:pPr>
              <w:jc w:val="center"/>
              <w:rPr>
                <w:rFonts w:eastAsia="Times New Roman"/>
                <w:color w:val="000000" w:themeColor="text1"/>
                <w:sz w:val="20"/>
                <w:szCs w:val="20"/>
              </w:rPr>
            </w:pPr>
          </w:p>
        </w:tc>
        <w:tc>
          <w:tcPr>
            <w:tcW w:w="989" w:type="dxa"/>
            <w:vMerge/>
            <w:shd w:val="clear" w:color="auto" w:fill="00B050"/>
            <w:textDirection w:val="btLr"/>
            <w:vAlign w:val="center"/>
          </w:tcPr>
          <w:p w14:paraId="2E70E617" w14:textId="77777777" w:rsidR="009917A4" w:rsidRPr="00E0317D" w:rsidRDefault="009917A4" w:rsidP="00A92280">
            <w:pPr>
              <w:jc w:val="center"/>
              <w:rPr>
                <w:color w:val="000000" w:themeColor="text1"/>
                <w:sz w:val="20"/>
              </w:rPr>
            </w:pPr>
          </w:p>
        </w:tc>
        <w:tc>
          <w:tcPr>
            <w:tcW w:w="5375" w:type="dxa"/>
            <w:vMerge/>
          </w:tcPr>
          <w:p w14:paraId="3C37DACB" w14:textId="77777777" w:rsidR="009917A4" w:rsidRPr="00E0317D" w:rsidRDefault="009917A4" w:rsidP="00A92280">
            <w:pPr>
              <w:pStyle w:val="BodyText"/>
              <w:spacing w:before="120" w:after="0"/>
              <w:rPr>
                <w:b/>
                <w:color w:val="000000" w:themeColor="text1"/>
                <w:sz w:val="20"/>
              </w:rPr>
            </w:pPr>
          </w:p>
        </w:tc>
        <w:tc>
          <w:tcPr>
            <w:tcW w:w="720" w:type="dxa"/>
            <w:gridSpan w:val="2"/>
            <w:vMerge/>
            <w:shd w:val="clear" w:color="auto" w:fill="FFFF00"/>
          </w:tcPr>
          <w:p w14:paraId="45D180CD" w14:textId="77777777" w:rsidR="009917A4" w:rsidRDefault="009917A4" w:rsidP="00A92280">
            <w:pPr>
              <w:pStyle w:val="BodyText"/>
              <w:spacing w:before="120" w:after="0"/>
              <w:jc w:val="center"/>
              <w:rPr>
                <w:rFonts w:eastAsia="Times New Roman"/>
                <w:sz w:val="20"/>
                <w:szCs w:val="20"/>
              </w:rPr>
            </w:pPr>
          </w:p>
        </w:tc>
        <w:tc>
          <w:tcPr>
            <w:tcW w:w="854" w:type="dxa"/>
            <w:vMerge/>
            <w:shd w:val="clear" w:color="auto" w:fill="00B050"/>
            <w:textDirection w:val="btLr"/>
            <w:vAlign w:val="center"/>
          </w:tcPr>
          <w:p w14:paraId="11471743" w14:textId="77777777" w:rsidR="009917A4" w:rsidRDefault="009917A4" w:rsidP="00A92280">
            <w:pPr>
              <w:pStyle w:val="BodyText"/>
              <w:spacing w:before="120" w:after="0"/>
              <w:ind w:left="113" w:right="113"/>
              <w:jc w:val="center"/>
              <w:rPr>
                <w:rFonts w:eastAsia="Times New Roman"/>
                <w:sz w:val="20"/>
                <w:szCs w:val="20"/>
              </w:rPr>
            </w:pPr>
          </w:p>
        </w:tc>
        <w:tc>
          <w:tcPr>
            <w:tcW w:w="3260" w:type="dxa"/>
            <w:vMerge/>
          </w:tcPr>
          <w:p w14:paraId="6F541032" w14:textId="77777777" w:rsidR="009917A4" w:rsidRPr="009441E2" w:rsidRDefault="009917A4" w:rsidP="00A92280">
            <w:pPr>
              <w:pStyle w:val="BodyText"/>
              <w:spacing w:before="120" w:after="0"/>
              <w:rPr>
                <w:rFonts w:eastAsia="Times New Roman"/>
                <w:sz w:val="20"/>
                <w:szCs w:val="20"/>
              </w:rPr>
            </w:pPr>
          </w:p>
        </w:tc>
      </w:tr>
      <w:tr w:rsidR="00955915" w:rsidRPr="009441E2" w14:paraId="2E617109" w14:textId="77777777" w:rsidTr="00127842">
        <w:trPr>
          <w:cantSplit/>
          <w:trHeight w:val="881"/>
        </w:trPr>
        <w:tc>
          <w:tcPr>
            <w:tcW w:w="979" w:type="dxa"/>
            <w:vMerge/>
            <w:tcBorders>
              <w:bottom w:val="single" w:sz="24" w:space="0" w:color="auto"/>
            </w:tcBorders>
          </w:tcPr>
          <w:p w14:paraId="647BC49E" w14:textId="77777777" w:rsidR="009917A4" w:rsidRDefault="009917A4" w:rsidP="00A92280">
            <w:pPr>
              <w:pStyle w:val="BodyText"/>
              <w:spacing w:before="120" w:after="0"/>
              <w:rPr>
                <w:rFonts w:eastAsia="Times New Roman"/>
                <w:sz w:val="20"/>
                <w:szCs w:val="20"/>
              </w:rPr>
            </w:pPr>
          </w:p>
        </w:tc>
        <w:tc>
          <w:tcPr>
            <w:tcW w:w="1699" w:type="dxa"/>
            <w:gridSpan w:val="2"/>
            <w:vMerge/>
            <w:tcBorders>
              <w:bottom w:val="single" w:sz="24" w:space="0" w:color="auto"/>
            </w:tcBorders>
          </w:tcPr>
          <w:p w14:paraId="7B32D83B" w14:textId="77777777" w:rsidR="009917A4" w:rsidRDefault="009917A4" w:rsidP="00A92280">
            <w:pPr>
              <w:pStyle w:val="BodyText"/>
              <w:spacing w:before="120" w:after="0"/>
              <w:rPr>
                <w:rFonts w:eastAsia="Times New Roman"/>
                <w:b/>
                <w:sz w:val="20"/>
                <w:szCs w:val="20"/>
              </w:rPr>
            </w:pPr>
          </w:p>
        </w:tc>
        <w:tc>
          <w:tcPr>
            <w:tcW w:w="4125" w:type="dxa"/>
            <w:gridSpan w:val="3"/>
            <w:vMerge/>
            <w:tcBorders>
              <w:bottom w:val="single" w:sz="24" w:space="0" w:color="auto"/>
            </w:tcBorders>
          </w:tcPr>
          <w:p w14:paraId="689E52C8" w14:textId="77777777" w:rsidR="009917A4" w:rsidRPr="00E0317D" w:rsidRDefault="009917A4" w:rsidP="00A92280">
            <w:pPr>
              <w:pStyle w:val="BodyText"/>
              <w:spacing w:before="120" w:after="0"/>
              <w:rPr>
                <w:rFonts w:eastAsia="Times New Roman"/>
                <w:color w:val="000000" w:themeColor="text1"/>
                <w:sz w:val="20"/>
                <w:szCs w:val="20"/>
              </w:rPr>
            </w:pPr>
          </w:p>
        </w:tc>
        <w:tc>
          <w:tcPr>
            <w:tcW w:w="3545" w:type="dxa"/>
            <w:vMerge/>
            <w:tcBorders>
              <w:bottom w:val="single" w:sz="24" w:space="0" w:color="auto"/>
            </w:tcBorders>
          </w:tcPr>
          <w:p w14:paraId="1CDAAC88" w14:textId="77777777" w:rsidR="009917A4" w:rsidRPr="00E0317D" w:rsidRDefault="009917A4" w:rsidP="00A92280">
            <w:pPr>
              <w:pStyle w:val="BodyText"/>
              <w:spacing w:before="120" w:after="0"/>
              <w:rPr>
                <w:rFonts w:eastAsia="Times New Roman"/>
                <w:color w:val="000000" w:themeColor="text1"/>
                <w:sz w:val="20"/>
                <w:szCs w:val="20"/>
              </w:rPr>
            </w:pPr>
          </w:p>
        </w:tc>
        <w:tc>
          <w:tcPr>
            <w:tcW w:w="425" w:type="dxa"/>
            <w:vMerge/>
            <w:tcBorders>
              <w:bottom w:val="single" w:sz="24" w:space="0" w:color="auto"/>
            </w:tcBorders>
            <w:textDirection w:val="btLr"/>
            <w:vAlign w:val="center"/>
          </w:tcPr>
          <w:p w14:paraId="0C19AA23" w14:textId="77777777" w:rsidR="009917A4" w:rsidRPr="00E0317D" w:rsidRDefault="009917A4" w:rsidP="00A92280">
            <w:pPr>
              <w:jc w:val="center"/>
              <w:rPr>
                <w:rFonts w:eastAsia="Times New Roman"/>
                <w:color w:val="000000" w:themeColor="text1"/>
                <w:sz w:val="20"/>
                <w:szCs w:val="20"/>
              </w:rPr>
            </w:pPr>
          </w:p>
        </w:tc>
        <w:tc>
          <w:tcPr>
            <w:tcW w:w="426" w:type="dxa"/>
            <w:vMerge/>
            <w:tcBorders>
              <w:bottom w:val="single" w:sz="24" w:space="0" w:color="auto"/>
            </w:tcBorders>
            <w:textDirection w:val="btLr"/>
            <w:vAlign w:val="center"/>
          </w:tcPr>
          <w:p w14:paraId="4FA0B431" w14:textId="77777777" w:rsidR="009917A4" w:rsidRPr="00E0317D" w:rsidRDefault="009917A4" w:rsidP="00A92280">
            <w:pPr>
              <w:jc w:val="center"/>
              <w:rPr>
                <w:rFonts w:eastAsia="Times New Roman"/>
                <w:color w:val="000000" w:themeColor="text1"/>
                <w:sz w:val="20"/>
                <w:szCs w:val="20"/>
              </w:rPr>
            </w:pPr>
          </w:p>
        </w:tc>
        <w:tc>
          <w:tcPr>
            <w:tcW w:w="989" w:type="dxa"/>
            <w:vMerge/>
            <w:tcBorders>
              <w:bottom w:val="single" w:sz="24" w:space="0" w:color="auto"/>
            </w:tcBorders>
            <w:shd w:val="clear" w:color="auto" w:fill="00B050"/>
            <w:textDirection w:val="btLr"/>
            <w:vAlign w:val="center"/>
          </w:tcPr>
          <w:p w14:paraId="632D8D79" w14:textId="77777777" w:rsidR="009917A4" w:rsidRPr="00E0317D" w:rsidRDefault="009917A4" w:rsidP="00A92280">
            <w:pPr>
              <w:jc w:val="center"/>
              <w:rPr>
                <w:color w:val="000000" w:themeColor="text1"/>
                <w:sz w:val="20"/>
              </w:rPr>
            </w:pPr>
          </w:p>
        </w:tc>
        <w:tc>
          <w:tcPr>
            <w:tcW w:w="5375" w:type="dxa"/>
            <w:tcBorders>
              <w:bottom w:val="single" w:sz="24" w:space="0" w:color="auto"/>
            </w:tcBorders>
          </w:tcPr>
          <w:p w14:paraId="65993458" w14:textId="1577F6D8" w:rsidR="009917A4" w:rsidRPr="00E0317D" w:rsidRDefault="009917A4" w:rsidP="00A92280">
            <w:pPr>
              <w:pStyle w:val="BodyText"/>
              <w:spacing w:before="120" w:after="0"/>
              <w:rPr>
                <w:color w:val="000000" w:themeColor="text1"/>
                <w:sz w:val="20"/>
                <w:szCs w:val="20"/>
              </w:rPr>
            </w:pPr>
            <w:r w:rsidRPr="00E0317D">
              <w:rPr>
                <w:b/>
                <w:color w:val="000000" w:themeColor="text1"/>
                <w:sz w:val="20"/>
              </w:rPr>
              <w:t xml:space="preserve">Treatment Option </w:t>
            </w:r>
            <w:r>
              <w:rPr>
                <w:b/>
                <w:color w:val="000000" w:themeColor="text1"/>
                <w:sz w:val="20"/>
              </w:rPr>
              <w:t>202</w:t>
            </w:r>
            <w:r w:rsidR="003C53F7">
              <w:rPr>
                <w:b/>
                <w:color w:val="000000" w:themeColor="text1"/>
                <w:sz w:val="20"/>
              </w:rPr>
              <w:t>1</w:t>
            </w:r>
            <w:r w:rsidRPr="00E0317D">
              <w:rPr>
                <w:b/>
                <w:color w:val="000000" w:themeColor="text1"/>
                <w:sz w:val="20"/>
              </w:rPr>
              <w:t>/0</w:t>
            </w:r>
            <w:r w:rsidR="002A30A0">
              <w:rPr>
                <w:b/>
                <w:color w:val="000000" w:themeColor="text1"/>
                <w:sz w:val="20"/>
              </w:rPr>
              <w:t>8</w:t>
            </w:r>
            <w:r w:rsidRPr="00E0317D">
              <w:rPr>
                <w:b/>
                <w:color w:val="000000" w:themeColor="text1"/>
                <w:sz w:val="20"/>
              </w:rPr>
              <w:t>/</w:t>
            </w:r>
            <w:r>
              <w:rPr>
                <w:b/>
                <w:color w:val="000000" w:themeColor="text1"/>
                <w:sz w:val="20"/>
              </w:rPr>
              <w:t>C</w:t>
            </w:r>
            <w:r w:rsidRPr="00E0317D">
              <w:rPr>
                <w:b/>
                <w:color w:val="000000" w:themeColor="text1"/>
                <w:sz w:val="20"/>
              </w:rPr>
              <w:t>.</w:t>
            </w:r>
            <w:r w:rsidRPr="00E0317D">
              <w:rPr>
                <w:color w:val="000000" w:themeColor="text1"/>
                <w:sz w:val="20"/>
              </w:rPr>
              <w:t xml:space="preserve"> </w:t>
            </w:r>
            <w:r w:rsidR="00584098">
              <w:rPr>
                <w:color w:val="000000" w:themeColor="text1"/>
                <w:sz w:val="20"/>
              </w:rPr>
              <w:t xml:space="preserve"> </w:t>
            </w:r>
            <w:r w:rsidR="00584098" w:rsidRPr="00584098">
              <w:rPr>
                <w:b/>
                <w:color w:val="000000" w:themeColor="text1"/>
                <w:sz w:val="20"/>
              </w:rPr>
              <w:t xml:space="preserve">Support a collective approach to the acquisition of SAR </w:t>
            </w:r>
            <w:r w:rsidR="00D60822">
              <w:rPr>
                <w:b/>
                <w:color w:val="000000" w:themeColor="text1"/>
                <w:sz w:val="20"/>
              </w:rPr>
              <w:t>t</w:t>
            </w:r>
            <w:r w:rsidR="00584098" w:rsidRPr="00584098">
              <w:rPr>
                <w:b/>
                <w:color w:val="000000" w:themeColor="text1"/>
                <w:sz w:val="20"/>
              </w:rPr>
              <w:t>echnologies.</w:t>
            </w:r>
            <w:r w:rsidR="00584098">
              <w:rPr>
                <w:color w:val="000000" w:themeColor="text1"/>
                <w:sz w:val="20"/>
              </w:rPr>
              <w:t xml:space="preserve"> </w:t>
            </w:r>
            <w:r w:rsidRPr="00E0317D">
              <w:rPr>
                <w:color w:val="000000" w:themeColor="text1"/>
                <w:sz w:val="20"/>
              </w:rPr>
              <w:t xml:space="preserve"> Facilitate engagement and approaches to coordinate the acquisition, use of and compatibility of high </w:t>
            </w:r>
            <w:r w:rsidR="00584098">
              <w:rPr>
                <w:color w:val="000000" w:themeColor="text1"/>
                <w:sz w:val="20"/>
              </w:rPr>
              <w:t>utility</w:t>
            </w:r>
            <w:r w:rsidRPr="00E0317D">
              <w:rPr>
                <w:color w:val="000000" w:themeColor="text1"/>
                <w:sz w:val="20"/>
              </w:rPr>
              <w:t xml:space="preserve"> SAR technologies.</w:t>
            </w:r>
          </w:p>
        </w:tc>
        <w:tc>
          <w:tcPr>
            <w:tcW w:w="720" w:type="dxa"/>
            <w:gridSpan w:val="2"/>
            <w:tcBorders>
              <w:bottom w:val="single" w:sz="24" w:space="0" w:color="auto"/>
            </w:tcBorders>
            <w:shd w:val="clear" w:color="auto" w:fill="FF0000"/>
            <w:textDirection w:val="btLr"/>
            <w:vAlign w:val="center"/>
          </w:tcPr>
          <w:p w14:paraId="417A088F" w14:textId="77777777" w:rsidR="009917A4" w:rsidRDefault="009917A4" w:rsidP="00A92280">
            <w:pPr>
              <w:pStyle w:val="BodyText"/>
              <w:spacing w:before="120" w:after="0"/>
              <w:jc w:val="center"/>
              <w:rPr>
                <w:rFonts w:eastAsia="Times New Roman"/>
                <w:sz w:val="20"/>
                <w:szCs w:val="20"/>
              </w:rPr>
            </w:pPr>
            <w:r>
              <w:rPr>
                <w:rFonts w:eastAsia="Times New Roman"/>
                <w:sz w:val="20"/>
                <w:szCs w:val="20"/>
              </w:rPr>
              <w:t>Nil</w:t>
            </w:r>
          </w:p>
        </w:tc>
        <w:tc>
          <w:tcPr>
            <w:tcW w:w="854" w:type="dxa"/>
            <w:tcBorders>
              <w:bottom w:val="single" w:sz="24" w:space="0" w:color="auto"/>
            </w:tcBorders>
            <w:shd w:val="clear" w:color="auto" w:fill="FFFF00"/>
            <w:textDirection w:val="btLr"/>
            <w:vAlign w:val="center"/>
          </w:tcPr>
          <w:p w14:paraId="01A721B5" w14:textId="2FBDCDB4" w:rsidR="009917A4" w:rsidRDefault="00584098" w:rsidP="00A92280">
            <w:pPr>
              <w:pStyle w:val="BodyText"/>
              <w:spacing w:before="120" w:after="0"/>
              <w:ind w:left="113" w:right="113"/>
              <w:jc w:val="center"/>
              <w:rPr>
                <w:rFonts w:eastAsia="Times New Roman"/>
                <w:sz w:val="20"/>
                <w:szCs w:val="20"/>
              </w:rPr>
            </w:pPr>
            <w:r>
              <w:rPr>
                <w:rFonts w:eastAsia="Times New Roman"/>
                <w:sz w:val="20"/>
                <w:szCs w:val="20"/>
              </w:rPr>
              <w:t>2021/22</w:t>
            </w:r>
          </w:p>
        </w:tc>
        <w:tc>
          <w:tcPr>
            <w:tcW w:w="3260" w:type="dxa"/>
            <w:tcBorders>
              <w:bottom w:val="single" w:sz="24" w:space="0" w:color="auto"/>
            </w:tcBorders>
          </w:tcPr>
          <w:p w14:paraId="03C4C25F" w14:textId="2BFBA838" w:rsidR="009917A4" w:rsidRPr="009441E2" w:rsidRDefault="00584098" w:rsidP="00A92280">
            <w:pPr>
              <w:pStyle w:val="BodyText"/>
              <w:spacing w:before="120" w:after="0"/>
              <w:rPr>
                <w:rFonts w:eastAsia="Times New Roman"/>
                <w:sz w:val="20"/>
                <w:szCs w:val="20"/>
              </w:rPr>
            </w:pPr>
            <w:r>
              <w:rPr>
                <w:rFonts w:eastAsia="Times New Roman"/>
                <w:sz w:val="20"/>
                <w:szCs w:val="20"/>
              </w:rPr>
              <w:t>SAR a</w:t>
            </w:r>
            <w:r w:rsidR="009917A4">
              <w:rPr>
                <w:rFonts w:eastAsia="Times New Roman"/>
                <w:sz w:val="20"/>
                <w:szCs w:val="20"/>
              </w:rPr>
              <w:t xml:space="preserve">gencies are resistant to technological and </w:t>
            </w:r>
            <w:r>
              <w:rPr>
                <w:rFonts w:eastAsia="Times New Roman"/>
                <w:sz w:val="20"/>
                <w:szCs w:val="20"/>
              </w:rPr>
              <w:t>purchasing cooperation</w:t>
            </w:r>
            <w:r w:rsidR="009917A4">
              <w:rPr>
                <w:rFonts w:eastAsia="Times New Roman"/>
                <w:sz w:val="20"/>
                <w:szCs w:val="20"/>
              </w:rPr>
              <w:t>.</w:t>
            </w:r>
            <w:r w:rsidR="00BA0E5C">
              <w:rPr>
                <w:rFonts w:eastAsia="Times New Roman"/>
                <w:sz w:val="20"/>
                <w:szCs w:val="20"/>
              </w:rPr>
              <w:t xml:space="preserve">  20</w:t>
            </w:r>
            <w:r>
              <w:rPr>
                <w:rFonts w:eastAsia="Times New Roman"/>
                <w:sz w:val="20"/>
                <w:szCs w:val="20"/>
              </w:rPr>
              <w:t>20/</w:t>
            </w:r>
            <w:r w:rsidR="00BA0E5C">
              <w:rPr>
                <w:rFonts w:eastAsia="Times New Roman"/>
                <w:sz w:val="20"/>
                <w:szCs w:val="20"/>
              </w:rPr>
              <w:t>21 SLA’s will make this requirement more explicit.</w:t>
            </w:r>
          </w:p>
        </w:tc>
      </w:tr>
      <w:tr w:rsidR="00955915" w:rsidRPr="009441E2" w14:paraId="44711D65" w14:textId="77777777" w:rsidTr="00127842">
        <w:trPr>
          <w:cantSplit/>
          <w:trHeight w:val="1140"/>
        </w:trPr>
        <w:tc>
          <w:tcPr>
            <w:tcW w:w="990" w:type="dxa"/>
            <w:gridSpan w:val="2"/>
            <w:vMerge w:val="restart"/>
            <w:tcBorders>
              <w:top w:val="single" w:sz="24" w:space="0" w:color="auto"/>
            </w:tcBorders>
          </w:tcPr>
          <w:p w14:paraId="3D417DF2" w14:textId="5CEB2A90" w:rsidR="00A42695" w:rsidRDefault="00A95825" w:rsidP="00A42695">
            <w:pPr>
              <w:pStyle w:val="BodyText"/>
              <w:spacing w:before="120" w:after="0"/>
              <w:rPr>
                <w:rFonts w:eastAsia="Times New Roman"/>
                <w:sz w:val="20"/>
                <w:szCs w:val="20"/>
              </w:rPr>
            </w:pPr>
            <w:r>
              <w:rPr>
                <w:rFonts w:eastAsia="Times New Roman"/>
                <w:sz w:val="20"/>
                <w:szCs w:val="20"/>
              </w:rPr>
              <w:t>202</w:t>
            </w:r>
            <w:r w:rsidR="003C53F7">
              <w:rPr>
                <w:rFonts w:eastAsia="Times New Roman"/>
                <w:sz w:val="20"/>
                <w:szCs w:val="20"/>
              </w:rPr>
              <w:t>1</w:t>
            </w:r>
            <w:r w:rsidR="00A42695">
              <w:rPr>
                <w:rFonts w:eastAsia="Times New Roman"/>
                <w:sz w:val="20"/>
                <w:szCs w:val="20"/>
              </w:rPr>
              <w:t>/0</w:t>
            </w:r>
            <w:r w:rsidR="00A92280">
              <w:rPr>
                <w:rFonts w:eastAsia="Times New Roman"/>
                <w:sz w:val="20"/>
                <w:szCs w:val="20"/>
              </w:rPr>
              <w:t>9</w:t>
            </w:r>
          </w:p>
        </w:tc>
        <w:tc>
          <w:tcPr>
            <w:tcW w:w="1700" w:type="dxa"/>
            <w:gridSpan w:val="2"/>
            <w:vMerge w:val="restart"/>
            <w:tcBorders>
              <w:top w:val="single" w:sz="24" w:space="0" w:color="auto"/>
            </w:tcBorders>
          </w:tcPr>
          <w:p w14:paraId="148975AC" w14:textId="77777777" w:rsidR="00A42695" w:rsidRDefault="00A42695" w:rsidP="00A42695">
            <w:pPr>
              <w:pStyle w:val="BodyText"/>
              <w:spacing w:before="120" w:after="0"/>
              <w:rPr>
                <w:rFonts w:eastAsia="Times New Roman"/>
                <w:b/>
                <w:sz w:val="20"/>
                <w:szCs w:val="20"/>
              </w:rPr>
            </w:pPr>
            <w:r>
              <w:rPr>
                <w:rFonts w:eastAsia="Times New Roman"/>
                <w:b/>
                <w:sz w:val="20"/>
                <w:szCs w:val="20"/>
              </w:rPr>
              <w:t>SAR Expectations</w:t>
            </w:r>
          </w:p>
          <w:p w14:paraId="78740945" w14:textId="77777777" w:rsidR="00A42695" w:rsidRPr="0026276D" w:rsidRDefault="00A42695" w:rsidP="00A42695">
            <w:pPr>
              <w:pStyle w:val="BodyText"/>
              <w:spacing w:before="120" w:after="0"/>
              <w:rPr>
                <w:rFonts w:eastAsia="Times New Roman"/>
                <w:sz w:val="20"/>
                <w:szCs w:val="20"/>
              </w:rPr>
            </w:pPr>
            <w:r>
              <w:rPr>
                <w:rFonts w:eastAsia="Times New Roman"/>
                <w:sz w:val="20"/>
                <w:szCs w:val="20"/>
              </w:rPr>
              <w:t>Stakeholders and public develop unrealistic expectations of SAR capacity and capabilities</w:t>
            </w:r>
          </w:p>
        </w:tc>
        <w:tc>
          <w:tcPr>
            <w:tcW w:w="4106" w:type="dxa"/>
            <w:tcBorders>
              <w:top w:val="single" w:sz="24" w:space="0" w:color="auto"/>
            </w:tcBorders>
          </w:tcPr>
          <w:p w14:paraId="16948857" w14:textId="77777777" w:rsidR="00A42695" w:rsidRDefault="00A42695" w:rsidP="00A42695">
            <w:pPr>
              <w:pStyle w:val="BodyText"/>
              <w:spacing w:before="120" w:after="0"/>
              <w:rPr>
                <w:sz w:val="20"/>
              </w:rPr>
            </w:pPr>
            <w:r>
              <w:rPr>
                <w:sz w:val="20"/>
              </w:rPr>
              <w:t>A lack of knowledge about SAR sector capabilities and limitations may lead to unwarranted expectations.</w:t>
            </w:r>
          </w:p>
        </w:tc>
        <w:tc>
          <w:tcPr>
            <w:tcW w:w="3552" w:type="dxa"/>
            <w:gridSpan w:val="2"/>
            <w:vMerge w:val="restart"/>
            <w:tcBorders>
              <w:top w:val="single" w:sz="24" w:space="0" w:color="auto"/>
            </w:tcBorders>
          </w:tcPr>
          <w:p w14:paraId="5B3F3736" w14:textId="77777777" w:rsidR="00A42695" w:rsidRDefault="00A42695" w:rsidP="00A42695">
            <w:pPr>
              <w:pStyle w:val="BodyText"/>
              <w:spacing w:before="120" w:after="0"/>
              <w:rPr>
                <w:rFonts w:eastAsia="Times New Roman"/>
                <w:sz w:val="20"/>
                <w:szCs w:val="20"/>
              </w:rPr>
            </w:pPr>
            <w:r>
              <w:rPr>
                <w:rFonts w:eastAsia="Times New Roman"/>
                <w:sz w:val="20"/>
                <w:szCs w:val="20"/>
              </w:rPr>
              <w:t>In the event of a mass rescue, mass search or a SAR incident at the extremities of the NZSRR, the media, public and senior stakeholders may unduly criticise SAR agencies and/or demand actions by SAR agencies that are beyond our capabilities.</w:t>
            </w:r>
          </w:p>
          <w:p w14:paraId="23360902" w14:textId="77777777" w:rsidR="00A42695" w:rsidRDefault="00A42695" w:rsidP="00A42695">
            <w:pPr>
              <w:pStyle w:val="BodyText"/>
              <w:spacing w:before="120" w:after="0"/>
              <w:rPr>
                <w:rFonts w:eastAsia="Times New Roman"/>
                <w:sz w:val="20"/>
                <w:szCs w:val="20"/>
              </w:rPr>
            </w:pPr>
            <w:r>
              <w:rPr>
                <w:rFonts w:eastAsia="Times New Roman"/>
                <w:sz w:val="20"/>
                <w:szCs w:val="20"/>
              </w:rPr>
              <w:t xml:space="preserve">Inappropriate SAR sector investment due to a misunderstanding of SAR expectations </w:t>
            </w:r>
          </w:p>
          <w:p w14:paraId="6B0444E6" w14:textId="77777777" w:rsidR="00A42695" w:rsidRPr="009441E2" w:rsidRDefault="00A42695" w:rsidP="00A42695">
            <w:pPr>
              <w:pStyle w:val="BodyText"/>
              <w:spacing w:before="120" w:after="0"/>
              <w:rPr>
                <w:rFonts w:eastAsia="Times New Roman"/>
                <w:sz w:val="20"/>
                <w:szCs w:val="20"/>
              </w:rPr>
            </w:pPr>
            <w:r>
              <w:rPr>
                <w:rFonts w:eastAsia="Times New Roman"/>
                <w:sz w:val="20"/>
                <w:szCs w:val="20"/>
              </w:rPr>
              <w:t xml:space="preserve">Members of the public may suffer undue hardship or cause unnecessary cost on the SAR system due to misunderstanding its capabilities and limitations. </w:t>
            </w:r>
          </w:p>
        </w:tc>
        <w:tc>
          <w:tcPr>
            <w:tcW w:w="425" w:type="dxa"/>
            <w:vMerge w:val="restart"/>
            <w:tcBorders>
              <w:top w:val="single" w:sz="24" w:space="0" w:color="auto"/>
            </w:tcBorders>
            <w:textDirection w:val="btLr"/>
          </w:tcPr>
          <w:p w14:paraId="1DD42E15" w14:textId="77777777" w:rsidR="00A42695" w:rsidRDefault="00A42695" w:rsidP="00955915">
            <w:pPr>
              <w:ind w:left="113" w:right="113"/>
              <w:jc w:val="center"/>
              <w:rPr>
                <w:rFonts w:eastAsia="Times New Roman"/>
                <w:sz w:val="20"/>
                <w:szCs w:val="20"/>
              </w:rPr>
            </w:pPr>
            <w:r>
              <w:rPr>
                <w:rFonts w:eastAsia="Times New Roman"/>
                <w:sz w:val="20"/>
                <w:szCs w:val="20"/>
              </w:rPr>
              <w:t>Rare</w:t>
            </w:r>
          </w:p>
        </w:tc>
        <w:tc>
          <w:tcPr>
            <w:tcW w:w="426" w:type="dxa"/>
            <w:vMerge w:val="restart"/>
            <w:tcBorders>
              <w:top w:val="single" w:sz="24" w:space="0" w:color="auto"/>
            </w:tcBorders>
            <w:textDirection w:val="btLr"/>
            <w:vAlign w:val="center"/>
          </w:tcPr>
          <w:p w14:paraId="6FF89F49" w14:textId="77777777" w:rsidR="00A42695" w:rsidRDefault="00A42695" w:rsidP="00955915">
            <w:pPr>
              <w:ind w:left="113" w:right="113"/>
              <w:jc w:val="center"/>
              <w:rPr>
                <w:rFonts w:eastAsia="Times New Roman"/>
                <w:sz w:val="20"/>
                <w:szCs w:val="20"/>
              </w:rPr>
            </w:pPr>
            <w:r>
              <w:rPr>
                <w:rFonts w:eastAsia="Times New Roman"/>
                <w:sz w:val="20"/>
                <w:szCs w:val="20"/>
              </w:rPr>
              <w:t>Major</w:t>
            </w:r>
          </w:p>
        </w:tc>
        <w:tc>
          <w:tcPr>
            <w:tcW w:w="989" w:type="dxa"/>
            <w:vMerge w:val="restart"/>
            <w:tcBorders>
              <w:top w:val="single" w:sz="24" w:space="0" w:color="auto"/>
            </w:tcBorders>
            <w:shd w:val="clear" w:color="auto" w:fill="FFFF00"/>
            <w:textDirection w:val="btLr"/>
            <w:vAlign w:val="center"/>
          </w:tcPr>
          <w:p w14:paraId="3003B48C" w14:textId="06FC4C5D" w:rsidR="00A42695" w:rsidRPr="00FD28C8" w:rsidRDefault="00A42695" w:rsidP="00A42695">
            <w:pPr>
              <w:pStyle w:val="BodyText"/>
              <w:spacing w:after="0"/>
              <w:jc w:val="center"/>
              <w:rPr>
                <w:sz w:val="20"/>
              </w:rPr>
            </w:pPr>
            <w:r>
              <w:rPr>
                <w:sz w:val="20"/>
              </w:rPr>
              <w:t>(Jul 19)</w:t>
            </w:r>
          </w:p>
        </w:tc>
        <w:tc>
          <w:tcPr>
            <w:tcW w:w="5386" w:type="dxa"/>
            <w:gridSpan w:val="2"/>
            <w:vMerge w:val="restart"/>
            <w:tcBorders>
              <w:top w:val="single" w:sz="24" w:space="0" w:color="auto"/>
            </w:tcBorders>
          </w:tcPr>
          <w:p w14:paraId="1932309C" w14:textId="0073E175" w:rsidR="00A42695" w:rsidRDefault="00A42695" w:rsidP="00A42695">
            <w:pPr>
              <w:pStyle w:val="BodyText"/>
              <w:spacing w:before="120" w:after="0"/>
              <w:rPr>
                <w:rFonts w:eastAsia="Times New Roman"/>
                <w:b/>
                <w:sz w:val="20"/>
                <w:szCs w:val="20"/>
              </w:rPr>
            </w:pPr>
            <w:r>
              <w:rPr>
                <w:rFonts w:eastAsia="Times New Roman"/>
                <w:b/>
                <w:sz w:val="20"/>
                <w:szCs w:val="20"/>
              </w:rPr>
              <w:t xml:space="preserve">Treatment Option </w:t>
            </w:r>
            <w:r w:rsidR="00A95825">
              <w:rPr>
                <w:rFonts w:eastAsia="Times New Roman"/>
                <w:b/>
                <w:sz w:val="20"/>
                <w:szCs w:val="20"/>
              </w:rPr>
              <w:t>202</w:t>
            </w:r>
            <w:r w:rsidR="003C53F7">
              <w:rPr>
                <w:rFonts w:eastAsia="Times New Roman"/>
                <w:b/>
                <w:sz w:val="20"/>
                <w:szCs w:val="20"/>
              </w:rPr>
              <w:t>1</w:t>
            </w:r>
            <w:r>
              <w:rPr>
                <w:rFonts w:eastAsia="Times New Roman"/>
                <w:b/>
                <w:sz w:val="20"/>
                <w:szCs w:val="20"/>
              </w:rPr>
              <w:t>/0</w:t>
            </w:r>
            <w:r w:rsidR="002A30A0">
              <w:rPr>
                <w:rFonts w:eastAsia="Times New Roman"/>
                <w:b/>
                <w:sz w:val="20"/>
                <w:szCs w:val="20"/>
              </w:rPr>
              <w:t>9</w:t>
            </w:r>
            <w:r>
              <w:rPr>
                <w:rFonts w:eastAsia="Times New Roman"/>
                <w:b/>
                <w:sz w:val="20"/>
                <w:szCs w:val="20"/>
              </w:rPr>
              <w:t>/A:  Advise senior stakeholders of SAR Sector capabilities and limitations</w:t>
            </w:r>
          </w:p>
          <w:p w14:paraId="357F8AAB" w14:textId="77777777" w:rsidR="00A42695" w:rsidRDefault="00A42695" w:rsidP="00A42695">
            <w:pPr>
              <w:pStyle w:val="BodyText"/>
              <w:spacing w:before="120" w:after="0"/>
              <w:rPr>
                <w:rFonts w:eastAsia="Times New Roman"/>
                <w:sz w:val="20"/>
                <w:szCs w:val="20"/>
              </w:rPr>
            </w:pPr>
            <w:r>
              <w:rPr>
                <w:rFonts w:eastAsia="Times New Roman"/>
                <w:sz w:val="20"/>
                <w:szCs w:val="20"/>
              </w:rPr>
              <w:t>Provide update briefs to HRB and Ministers regarding SAR capabilities and limitations.</w:t>
            </w:r>
          </w:p>
          <w:p w14:paraId="78F78C39" w14:textId="77777777" w:rsidR="00A42695" w:rsidRPr="00730E00" w:rsidRDefault="00A42695" w:rsidP="00A42695">
            <w:pPr>
              <w:pStyle w:val="BodyText"/>
              <w:spacing w:before="120" w:after="0"/>
              <w:rPr>
                <w:rFonts w:eastAsia="Times New Roman"/>
                <w:sz w:val="20"/>
                <w:szCs w:val="20"/>
              </w:rPr>
            </w:pPr>
          </w:p>
        </w:tc>
        <w:tc>
          <w:tcPr>
            <w:tcW w:w="709" w:type="dxa"/>
            <w:vMerge w:val="restart"/>
            <w:tcBorders>
              <w:top w:val="single" w:sz="24" w:space="0" w:color="auto"/>
            </w:tcBorders>
            <w:shd w:val="clear" w:color="auto" w:fill="00B050"/>
            <w:textDirection w:val="btLr"/>
            <w:vAlign w:val="center"/>
          </w:tcPr>
          <w:p w14:paraId="78A80636" w14:textId="15748C3E" w:rsidR="00A42695" w:rsidRDefault="00A42695" w:rsidP="00A42695">
            <w:pPr>
              <w:pStyle w:val="BodyText"/>
              <w:spacing w:after="0"/>
              <w:jc w:val="center"/>
              <w:rPr>
                <w:rFonts w:eastAsia="Times New Roman"/>
                <w:sz w:val="20"/>
                <w:szCs w:val="20"/>
              </w:rPr>
            </w:pPr>
            <w:r>
              <w:rPr>
                <w:rFonts w:eastAsia="Times New Roman"/>
                <w:sz w:val="20"/>
                <w:szCs w:val="20"/>
              </w:rPr>
              <w:t>Full</w:t>
            </w:r>
          </w:p>
        </w:tc>
        <w:tc>
          <w:tcPr>
            <w:tcW w:w="854" w:type="dxa"/>
            <w:vMerge w:val="restart"/>
            <w:tcBorders>
              <w:top w:val="single" w:sz="24" w:space="0" w:color="auto"/>
            </w:tcBorders>
            <w:shd w:val="clear" w:color="auto" w:fill="00B050"/>
            <w:textDirection w:val="btLr"/>
            <w:vAlign w:val="center"/>
          </w:tcPr>
          <w:p w14:paraId="4BCB5932" w14:textId="3C2F2B97" w:rsidR="00A42695" w:rsidRDefault="00A42695" w:rsidP="00A42695">
            <w:pPr>
              <w:pStyle w:val="BodyText"/>
              <w:spacing w:before="120" w:after="0"/>
              <w:ind w:left="113" w:right="113"/>
              <w:jc w:val="center"/>
              <w:rPr>
                <w:rFonts w:eastAsia="Times New Roman"/>
                <w:sz w:val="20"/>
                <w:szCs w:val="20"/>
              </w:rPr>
            </w:pPr>
            <w:r>
              <w:rPr>
                <w:rFonts w:eastAsia="Times New Roman"/>
                <w:sz w:val="20"/>
                <w:szCs w:val="20"/>
              </w:rPr>
              <w:t>Ongoing</w:t>
            </w:r>
          </w:p>
          <w:p w14:paraId="0403ACD4" w14:textId="1D2EF95B" w:rsidR="00A42695" w:rsidRDefault="00A42695" w:rsidP="00A42695">
            <w:pPr>
              <w:pStyle w:val="BodyText"/>
              <w:spacing w:before="120" w:after="0"/>
              <w:ind w:left="113" w:right="113"/>
              <w:rPr>
                <w:rFonts w:eastAsia="Times New Roman"/>
                <w:sz w:val="20"/>
                <w:szCs w:val="20"/>
              </w:rPr>
            </w:pPr>
          </w:p>
        </w:tc>
        <w:tc>
          <w:tcPr>
            <w:tcW w:w="3260" w:type="dxa"/>
            <w:vMerge w:val="restart"/>
            <w:tcBorders>
              <w:top w:val="single" w:sz="24" w:space="0" w:color="auto"/>
            </w:tcBorders>
          </w:tcPr>
          <w:p w14:paraId="09DAFFA5" w14:textId="77777777" w:rsidR="00A42695" w:rsidRDefault="00A42695" w:rsidP="00A42695">
            <w:pPr>
              <w:pStyle w:val="BodyText"/>
              <w:spacing w:before="120" w:after="0"/>
              <w:rPr>
                <w:rFonts w:eastAsia="Times New Roman"/>
                <w:sz w:val="20"/>
                <w:szCs w:val="20"/>
              </w:rPr>
            </w:pPr>
            <w:r>
              <w:rPr>
                <w:rFonts w:eastAsia="Times New Roman"/>
                <w:sz w:val="20"/>
                <w:szCs w:val="20"/>
              </w:rPr>
              <w:t xml:space="preserve">Minister of Transport briefed on SAR capabilities and limitations July </w:t>
            </w:r>
            <w:r w:rsidR="00A95825" w:rsidRPr="00BA0E5C">
              <w:rPr>
                <w:rFonts w:eastAsia="Times New Roman"/>
                <w:sz w:val="20"/>
                <w:szCs w:val="20"/>
              </w:rPr>
              <w:t>2020</w:t>
            </w:r>
            <w:r w:rsidR="00BA0E5C">
              <w:rPr>
                <w:rFonts w:eastAsia="Times New Roman"/>
                <w:sz w:val="20"/>
                <w:szCs w:val="20"/>
              </w:rPr>
              <w:t>.</w:t>
            </w:r>
          </w:p>
          <w:p w14:paraId="1C09F10C" w14:textId="6CB349AB" w:rsidR="00BA0E5C" w:rsidRPr="009441E2" w:rsidRDefault="00BA0E5C" w:rsidP="00A42695">
            <w:pPr>
              <w:pStyle w:val="BodyText"/>
              <w:spacing w:before="120" w:after="0"/>
              <w:rPr>
                <w:rFonts w:eastAsia="Times New Roman"/>
                <w:sz w:val="20"/>
                <w:szCs w:val="20"/>
              </w:rPr>
            </w:pPr>
            <w:r>
              <w:rPr>
                <w:rFonts w:eastAsia="Times New Roman"/>
                <w:sz w:val="20"/>
                <w:szCs w:val="20"/>
              </w:rPr>
              <w:t xml:space="preserve">Annual </w:t>
            </w:r>
            <w:r w:rsidR="00D60822">
              <w:rPr>
                <w:rFonts w:eastAsia="Times New Roman"/>
                <w:sz w:val="20"/>
                <w:szCs w:val="20"/>
              </w:rPr>
              <w:t>reporting</w:t>
            </w:r>
            <w:r>
              <w:rPr>
                <w:rFonts w:eastAsia="Times New Roman"/>
                <w:sz w:val="20"/>
                <w:szCs w:val="20"/>
              </w:rPr>
              <w:t xml:space="preserve"> continues</w:t>
            </w:r>
          </w:p>
        </w:tc>
      </w:tr>
      <w:tr w:rsidR="00955915" w:rsidRPr="009441E2" w14:paraId="592F1079" w14:textId="77777777" w:rsidTr="001538D0">
        <w:trPr>
          <w:cantSplit/>
          <w:trHeight w:val="1134"/>
        </w:trPr>
        <w:tc>
          <w:tcPr>
            <w:tcW w:w="990" w:type="dxa"/>
            <w:gridSpan w:val="2"/>
            <w:vMerge/>
          </w:tcPr>
          <w:p w14:paraId="428182D5" w14:textId="77777777" w:rsidR="00A42695" w:rsidRDefault="00A42695" w:rsidP="00A42695">
            <w:pPr>
              <w:pStyle w:val="BodyText"/>
              <w:spacing w:before="120" w:after="0"/>
              <w:rPr>
                <w:rFonts w:eastAsia="Times New Roman"/>
                <w:sz w:val="20"/>
                <w:szCs w:val="20"/>
              </w:rPr>
            </w:pPr>
          </w:p>
        </w:tc>
        <w:tc>
          <w:tcPr>
            <w:tcW w:w="1700" w:type="dxa"/>
            <w:gridSpan w:val="2"/>
            <w:vMerge/>
          </w:tcPr>
          <w:p w14:paraId="7D8508BB" w14:textId="77777777" w:rsidR="00A42695" w:rsidRDefault="00A42695" w:rsidP="00A42695">
            <w:pPr>
              <w:pStyle w:val="BodyText"/>
              <w:spacing w:before="120" w:after="0"/>
              <w:rPr>
                <w:rFonts w:eastAsia="Times New Roman"/>
                <w:b/>
                <w:sz w:val="20"/>
                <w:szCs w:val="20"/>
              </w:rPr>
            </w:pPr>
          </w:p>
        </w:tc>
        <w:tc>
          <w:tcPr>
            <w:tcW w:w="4106" w:type="dxa"/>
            <w:vMerge w:val="restart"/>
          </w:tcPr>
          <w:p w14:paraId="73ACE897" w14:textId="77777777" w:rsidR="00A42695" w:rsidRDefault="00A42695" w:rsidP="00A42695">
            <w:pPr>
              <w:pStyle w:val="BodyText"/>
              <w:spacing w:before="120" w:after="0"/>
              <w:rPr>
                <w:sz w:val="20"/>
              </w:rPr>
            </w:pPr>
            <w:r>
              <w:rPr>
                <w:sz w:val="20"/>
              </w:rPr>
              <w:t xml:space="preserve">Regular reporting of successful SAR operations may lead to a false sense of SAR capabilities by the media and significant stakeholders. </w:t>
            </w:r>
          </w:p>
        </w:tc>
        <w:tc>
          <w:tcPr>
            <w:tcW w:w="3552" w:type="dxa"/>
            <w:gridSpan w:val="2"/>
            <w:vMerge/>
          </w:tcPr>
          <w:p w14:paraId="4B63D008" w14:textId="77777777" w:rsidR="00A42695" w:rsidRPr="009441E2" w:rsidRDefault="00A42695" w:rsidP="00A42695">
            <w:pPr>
              <w:pStyle w:val="BodyText"/>
              <w:spacing w:before="120" w:after="0"/>
              <w:rPr>
                <w:rFonts w:eastAsia="Times New Roman"/>
                <w:sz w:val="20"/>
                <w:szCs w:val="20"/>
              </w:rPr>
            </w:pPr>
          </w:p>
        </w:tc>
        <w:tc>
          <w:tcPr>
            <w:tcW w:w="425" w:type="dxa"/>
            <w:vMerge/>
            <w:textDirection w:val="btLr"/>
            <w:vAlign w:val="center"/>
          </w:tcPr>
          <w:p w14:paraId="4F30A164" w14:textId="77777777" w:rsidR="00A42695" w:rsidRDefault="00A42695" w:rsidP="00A42695">
            <w:pPr>
              <w:pStyle w:val="BodyText"/>
              <w:spacing w:before="120" w:after="0"/>
              <w:ind w:left="113" w:right="113"/>
              <w:jc w:val="center"/>
              <w:rPr>
                <w:rFonts w:eastAsia="Times New Roman"/>
                <w:sz w:val="20"/>
                <w:szCs w:val="20"/>
              </w:rPr>
            </w:pPr>
          </w:p>
        </w:tc>
        <w:tc>
          <w:tcPr>
            <w:tcW w:w="426" w:type="dxa"/>
            <w:vMerge/>
            <w:textDirection w:val="btLr"/>
            <w:vAlign w:val="center"/>
          </w:tcPr>
          <w:p w14:paraId="17AC550B" w14:textId="77777777" w:rsidR="00A42695" w:rsidRDefault="00A42695" w:rsidP="00A42695">
            <w:pPr>
              <w:pStyle w:val="BodyText"/>
              <w:spacing w:before="120" w:after="0"/>
              <w:jc w:val="center"/>
              <w:rPr>
                <w:rFonts w:eastAsia="Times New Roman"/>
                <w:sz w:val="20"/>
                <w:szCs w:val="20"/>
              </w:rPr>
            </w:pPr>
          </w:p>
        </w:tc>
        <w:tc>
          <w:tcPr>
            <w:tcW w:w="989" w:type="dxa"/>
            <w:vMerge/>
            <w:shd w:val="clear" w:color="auto" w:fill="FFFF00"/>
            <w:textDirection w:val="btLr"/>
            <w:vAlign w:val="center"/>
          </w:tcPr>
          <w:p w14:paraId="4947470F" w14:textId="77777777" w:rsidR="00A42695" w:rsidRPr="00FD28C8" w:rsidRDefault="00A42695" w:rsidP="00A42695">
            <w:pPr>
              <w:pStyle w:val="BodyText"/>
              <w:spacing w:after="0"/>
              <w:jc w:val="center"/>
              <w:rPr>
                <w:sz w:val="20"/>
              </w:rPr>
            </w:pPr>
          </w:p>
        </w:tc>
        <w:tc>
          <w:tcPr>
            <w:tcW w:w="5386" w:type="dxa"/>
            <w:gridSpan w:val="2"/>
            <w:vMerge/>
          </w:tcPr>
          <w:p w14:paraId="4E7DEFE7" w14:textId="77777777" w:rsidR="00A42695" w:rsidRDefault="00A42695" w:rsidP="00A42695">
            <w:pPr>
              <w:pStyle w:val="BodyText"/>
              <w:spacing w:before="120" w:after="0"/>
              <w:rPr>
                <w:rFonts w:eastAsia="Times New Roman"/>
                <w:b/>
                <w:sz w:val="20"/>
                <w:szCs w:val="20"/>
              </w:rPr>
            </w:pPr>
          </w:p>
        </w:tc>
        <w:tc>
          <w:tcPr>
            <w:tcW w:w="709" w:type="dxa"/>
            <w:vMerge/>
            <w:shd w:val="clear" w:color="auto" w:fill="00B050"/>
            <w:textDirection w:val="btLr"/>
          </w:tcPr>
          <w:p w14:paraId="53139835" w14:textId="77777777" w:rsidR="00A42695" w:rsidRDefault="00A42695" w:rsidP="00A42695">
            <w:pPr>
              <w:pStyle w:val="BodyText"/>
              <w:spacing w:after="0"/>
              <w:jc w:val="center"/>
              <w:rPr>
                <w:rFonts w:eastAsia="Times New Roman"/>
                <w:sz w:val="20"/>
                <w:szCs w:val="20"/>
              </w:rPr>
            </w:pPr>
          </w:p>
        </w:tc>
        <w:tc>
          <w:tcPr>
            <w:tcW w:w="854" w:type="dxa"/>
            <w:vMerge/>
            <w:shd w:val="clear" w:color="auto" w:fill="00B050"/>
            <w:textDirection w:val="btLr"/>
            <w:vAlign w:val="center"/>
          </w:tcPr>
          <w:p w14:paraId="50694882" w14:textId="610334F5" w:rsidR="00A42695" w:rsidRDefault="00A42695" w:rsidP="00A42695">
            <w:pPr>
              <w:pStyle w:val="BodyText"/>
              <w:spacing w:before="120" w:after="0"/>
              <w:ind w:left="113" w:right="113"/>
              <w:jc w:val="center"/>
              <w:rPr>
                <w:rFonts w:eastAsia="Times New Roman"/>
                <w:sz w:val="20"/>
                <w:szCs w:val="20"/>
              </w:rPr>
            </w:pPr>
          </w:p>
        </w:tc>
        <w:tc>
          <w:tcPr>
            <w:tcW w:w="3260" w:type="dxa"/>
            <w:vMerge/>
          </w:tcPr>
          <w:p w14:paraId="720F8A07" w14:textId="77777777" w:rsidR="00A42695" w:rsidRPr="009441E2" w:rsidRDefault="00A42695" w:rsidP="00A42695">
            <w:pPr>
              <w:pStyle w:val="BodyText"/>
              <w:spacing w:before="120" w:after="0"/>
              <w:rPr>
                <w:rFonts w:eastAsia="Times New Roman"/>
                <w:sz w:val="20"/>
                <w:szCs w:val="20"/>
              </w:rPr>
            </w:pPr>
          </w:p>
        </w:tc>
      </w:tr>
      <w:tr w:rsidR="00955915" w:rsidRPr="009441E2" w14:paraId="1561ED95" w14:textId="77777777" w:rsidTr="001538D0">
        <w:trPr>
          <w:cantSplit/>
          <w:trHeight w:val="1872"/>
        </w:trPr>
        <w:tc>
          <w:tcPr>
            <w:tcW w:w="990" w:type="dxa"/>
            <w:gridSpan w:val="2"/>
            <w:vMerge/>
          </w:tcPr>
          <w:p w14:paraId="7D97DB61" w14:textId="77777777" w:rsidR="00A42695" w:rsidRDefault="00A42695" w:rsidP="00A42695">
            <w:pPr>
              <w:pStyle w:val="BodyText"/>
              <w:spacing w:before="120" w:after="0"/>
              <w:rPr>
                <w:rFonts w:eastAsia="Times New Roman"/>
                <w:sz w:val="20"/>
                <w:szCs w:val="20"/>
              </w:rPr>
            </w:pPr>
          </w:p>
        </w:tc>
        <w:tc>
          <w:tcPr>
            <w:tcW w:w="1700" w:type="dxa"/>
            <w:gridSpan w:val="2"/>
            <w:vMerge/>
          </w:tcPr>
          <w:p w14:paraId="45C807E2" w14:textId="77777777" w:rsidR="00A42695" w:rsidRDefault="00A42695" w:rsidP="00A42695">
            <w:pPr>
              <w:pStyle w:val="BodyText"/>
              <w:spacing w:before="120" w:after="0"/>
              <w:rPr>
                <w:rFonts w:eastAsia="Times New Roman"/>
                <w:b/>
                <w:sz w:val="20"/>
                <w:szCs w:val="20"/>
              </w:rPr>
            </w:pPr>
          </w:p>
        </w:tc>
        <w:tc>
          <w:tcPr>
            <w:tcW w:w="4106" w:type="dxa"/>
            <w:vMerge/>
          </w:tcPr>
          <w:p w14:paraId="25E33575" w14:textId="77777777" w:rsidR="00A42695" w:rsidRDefault="00A42695" w:rsidP="00A42695">
            <w:pPr>
              <w:pStyle w:val="BodyText"/>
              <w:spacing w:before="120" w:after="0"/>
              <w:rPr>
                <w:sz w:val="20"/>
              </w:rPr>
            </w:pPr>
          </w:p>
        </w:tc>
        <w:tc>
          <w:tcPr>
            <w:tcW w:w="3552" w:type="dxa"/>
            <w:gridSpan w:val="2"/>
            <w:vMerge/>
          </w:tcPr>
          <w:p w14:paraId="18868081" w14:textId="77777777" w:rsidR="00A42695" w:rsidRPr="009441E2" w:rsidRDefault="00A42695" w:rsidP="00A42695">
            <w:pPr>
              <w:pStyle w:val="BodyText"/>
              <w:spacing w:before="120" w:after="0"/>
              <w:rPr>
                <w:rFonts w:eastAsia="Times New Roman"/>
                <w:sz w:val="20"/>
                <w:szCs w:val="20"/>
              </w:rPr>
            </w:pPr>
          </w:p>
        </w:tc>
        <w:tc>
          <w:tcPr>
            <w:tcW w:w="425" w:type="dxa"/>
            <w:vMerge/>
            <w:textDirection w:val="btLr"/>
            <w:vAlign w:val="center"/>
          </w:tcPr>
          <w:p w14:paraId="7AFC94C6" w14:textId="77777777" w:rsidR="00A42695" w:rsidRDefault="00A42695" w:rsidP="00A42695">
            <w:pPr>
              <w:pStyle w:val="BodyText"/>
              <w:spacing w:before="120" w:after="0"/>
              <w:ind w:left="113" w:right="113"/>
              <w:jc w:val="center"/>
              <w:rPr>
                <w:rFonts w:eastAsia="Times New Roman"/>
                <w:sz w:val="20"/>
                <w:szCs w:val="20"/>
              </w:rPr>
            </w:pPr>
          </w:p>
        </w:tc>
        <w:tc>
          <w:tcPr>
            <w:tcW w:w="426" w:type="dxa"/>
            <w:vMerge/>
            <w:textDirection w:val="btLr"/>
            <w:vAlign w:val="center"/>
          </w:tcPr>
          <w:p w14:paraId="46E46DCF" w14:textId="77777777" w:rsidR="00A42695" w:rsidRDefault="00A42695" w:rsidP="00A42695">
            <w:pPr>
              <w:pStyle w:val="BodyText"/>
              <w:spacing w:before="120" w:after="0"/>
              <w:jc w:val="center"/>
              <w:rPr>
                <w:rFonts w:eastAsia="Times New Roman"/>
                <w:sz w:val="20"/>
                <w:szCs w:val="20"/>
              </w:rPr>
            </w:pPr>
          </w:p>
        </w:tc>
        <w:tc>
          <w:tcPr>
            <w:tcW w:w="989" w:type="dxa"/>
            <w:shd w:val="clear" w:color="auto" w:fill="FFFF00"/>
            <w:textDirection w:val="btLr"/>
            <w:vAlign w:val="center"/>
          </w:tcPr>
          <w:p w14:paraId="44557E08" w14:textId="6649C5E4" w:rsidR="00A42695" w:rsidRPr="00FD28C8" w:rsidRDefault="00A42695" w:rsidP="00A42695">
            <w:pPr>
              <w:pStyle w:val="BodyText"/>
              <w:spacing w:after="0"/>
              <w:jc w:val="center"/>
              <w:rPr>
                <w:sz w:val="20"/>
              </w:rPr>
            </w:pPr>
            <w:r>
              <w:rPr>
                <w:sz w:val="20"/>
              </w:rPr>
              <w:t>(Jul 19)</w:t>
            </w:r>
          </w:p>
        </w:tc>
        <w:tc>
          <w:tcPr>
            <w:tcW w:w="5386" w:type="dxa"/>
            <w:gridSpan w:val="2"/>
          </w:tcPr>
          <w:p w14:paraId="1ED0DEF6" w14:textId="39E8BCC5" w:rsidR="00A42695" w:rsidRDefault="00A42695" w:rsidP="00A42695">
            <w:pPr>
              <w:pStyle w:val="BodyText"/>
              <w:spacing w:before="120" w:after="0"/>
              <w:rPr>
                <w:rFonts w:eastAsia="Times New Roman"/>
                <w:b/>
                <w:sz w:val="20"/>
                <w:szCs w:val="20"/>
              </w:rPr>
            </w:pPr>
            <w:r>
              <w:rPr>
                <w:rFonts w:eastAsia="Times New Roman"/>
                <w:b/>
                <w:sz w:val="20"/>
                <w:szCs w:val="20"/>
              </w:rPr>
              <w:t xml:space="preserve">Treatment Option </w:t>
            </w:r>
            <w:r w:rsidR="00A95825">
              <w:rPr>
                <w:rFonts w:eastAsia="Times New Roman"/>
                <w:b/>
                <w:sz w:val="20"/>
                <w:szCs w:val="20"/>
              </w:rPr>
              <w:t>202</w:t>
            </w:r>
            <w:r w:rsidR="003C53F7">
              <w:rPr>
                <w:rFonts w:eastAsia="Times New Roman"/>
                <w:b/>
                <w:sz w:val="20"/>
                <w:szCs w:val="20"/>
              </w:rPr>
              <w:t>1</w:t>
            </w:r>
            <w:r>
              <w:rPr>
                <w:rFonts w:eastAsia="Times New Roman"/>
                <w:b/>
                <w:sz w:val="20"/>
                <w:szCs w:val="20"/>
              </w:rPr>
              <w:t>/0</w:t>
            </w:r>
            <w:r w:rsidR="002A30A0">
              <w:rPr>
                <w:rFonts w:eastAsia="Times New Roman"/>
                <w:b/>
                <w:sz w:val="20"/>
                <w:szCs w:val="20"/>
              </w:rPr>
              <w:t>9</w:t>
            </w:r>
            <w:r>
              <w:rPr>
                <w:rFonts w:eastAsia="Times New Roman"/>
                <w:b/>
                <w:sz w:val="20"/>
                <w:szCs w:val="20"/>
              </w:rPr>
              <w:t>/B:  Advise media stakeholders of SAR Sector capabilities and limitations</w:t>
            </w:r>
          </w:p>
          <w:p w14:paraId="61B77404" w14:textId="11BC01A6" w:rsidR="00A42695" w:rsidRPr="00A0510D" w:rsidRDefault="00A42695" w:rsidP="00A42695">
            <w:pPr>
              <w:pStyle w:val="BodyText"/>
              <w:spacing w:before="120" w:after="0"/>
              <w:rPr>
                <w:rFonts w:eastAsia="Times New Roman"/>
                <w:sz w:val="20"/>
                <w:szCs w:val="20"/>
              </w:rPr>
            </w:pPr>
            <w:r>
              <w:rPr>
                <w:rFonts w:eastAsia="Times New Roman"/>
                <w:sz w:val="20"/>
                <w:szCs w:val="20"/>
              </w:rPr>
              <w:t>Distribute the NZSAR annual report to media outlets.  RCCNZ and NZ Police undertake targeted SAR media briefing and specifically note SAR sector capabilities and limitations.</w:t>
            </w:r>
          </w:p>
        </w:tc>
        <w:tc>
          <w:tcPr>
            <w:tcW w:w="709" w:type="dxa"/>
            <w:shd w:val="clear" w:color="auto" w:fill="FFFF00"/>
            <w:textDirection w:val="btLr"/>
            <w:vAlign w:val="center"/>
          </w:tcPr>
          <w:p w14:paraId="2459FEDD" w14:textId="77B49178" w:rsidR="00A42695" w:rsidRDefault="00A42695" w:rsidP="00A42695">
            <w:pPr>
              <w:pStyle w:val="BodyText"/>
              <w:spacing w:after="0"/>
              <w:jc w:val="center"/>
              <w:rPr>
                <w:rFonts w:eastAsia="Times New Roman"/>
                <w:sz w:val="20"/>
                <w:szCs w:val="20"/>
              </w:rPr>
            </w:pPr>
            <w:r>
              <w:rPr>
                <w:rFonts w:eastAsia="Times New Roman"/>
                <w:sz w:val="20"/>
                <w:szCs w:val="20"/>
              </w:rPr>
              <w:t>Limited</w:t>
            </w:r>
          </w:p>
        </w:tc>
        <w:tc>
          <w:tcPr>
            <w:tcW w:w="854" w:type="dxa"/>
            <w:shd w:val="clear" w:color="auto" w:fill="FFFF00"/>
            <w:textDirection w:val="btLr"/>
            <w:vAlign w:val="center"/>
          </w:tcPr>
          <w:p w14:paraId="55EAA261" w14:textId="31C3171A" w:rsidR="00A42695" w:rsidRDefault="00A42695" w:rsidP="00A42695">
            <w:pPr>
              <w:pStyle w:val="BodyText"/>
              <w:spacing w:before="120" w:after="0"/>
              <w:ind w:left="113" w:right="113"/>
              <w:jc w:val="center"/>
              <w:rPr>
                <w:rFonts w:eastAsia="Times New Roman"/>
                <w:sz w:val="20"/>
                <w:szCs w:val="20"/>
              </w:rPr>
            </w:pPr>
            <w:r>
              <w:rPr>
                <w:rFonts w:eastAsia="Times New Roman"/>
                <w:sz w:val="20"/>
                <w:szCs w:val="20"/>
              </w:rPr>
              <w:t>Ongoing</w:t>
            </w:r>
          </w:p>
        </w:tc>
        <w:tc>
          <w:tcPr>
            <w:tcW w:w="3260" w:type="dxa"/>
          </w:tcPr>
          <w:p w14:paraId="3A6EBF48" w14:textId="38111FB1" w:rsidR="00A42695" w:rsidRDefault="00A42695" w:rsidP="00A42695">
            <w:pPr>
              <w:pStyle w:val="BodyText"/>
              <w:spacing w:before="120" w:after="0"/>
              <w:rPr>
                <w:rFonts w:eastAsia="Times New Roman"/>
                <w:sz w:val="20"/>
                <w:szCs w:val="20"/>
              </w:rPr>
            </w:pPr>
            <w:r>
              <w:rPr>
                <w:rFonts w:eastAsia="Times New Roman"/>
                <w:sz w:val="20"/>
                <w:szCs w:val="20"/>
              </w:rPr>
              <w:t xml:space="preserve">Nature of the modern media makes </w:t>
            </w:r>
            <w:r w:rsidR="00C1550F">
              <w:rPr>
                <w:rFonts w:eastAsia="Times New Roman"/>
                <w:sz w:val="20"/>
                <w:szCs w:val="20"/>
              </w:rPr>
              <w:t>it</w:t>
            </w:r>
            <w:r>
              <w:rPr>
                <w:rFonts w:eastAsia="Times New Roman"/>
                <w:sz w:val="20"/>
                <w:szCs w:val="20"/>
              </w:rPr>
              <w:t xml:space="preserve"> difficult to raise their understanding of the SAR sector. </w:t>
            </w:r>
          </w:p>
          <w:p w14:paraId="256456C8" w14:textId="1FBCD4F2" w:rsidR="00A42695" w:rsidRPr="009441E2" w:rsidRDefault="00A42695" w:rsidP="00A42695">
            <w:pPr>
              <w:pStyle w:val="BodyText"/>
              <w:spacing w:before="120" w:after="0"/>
              <w:rPr>
                <w:rFonts w:eastAsia="Times New Roman"/>
                <w:sz w:val="20"/>
                <w:szCs w:val="20"/>
              </w:rPr>
            </w:pPr>
            <w:r>
              <w:rPr>
                <w:rFonts w:eastAsia="Times New Roman"/>
                <w:sz w:val="20"/>
                <w:szCs w:val="20"/>
              </w:rPr>
              <w:t xml:space="preserve">Some targeted briefing </w:t>
            </w:r>
            <w:r w:rsidR="00C1550F">
              <w:rPr>
                <w:rFonts w:eastAsia="Times New Roman"/>
                <w:sz w:val="20"/>
                <w:szCs w:val="20"/>
              </w:rPr>
              <w:t>has</w:t>
            </w:r>
            <w:r>
              <w:rPr>
                <w:rFonts w:eastAsia="Times New Roman"/>
                <w:sz w:val="20"/>
                <w:szCs w:val="20"/>
              </w:rPr>
              <w:t xml:space="preserve"> occurred.  More are needed.</w:t>
            </w:r>
          </w:p>
        </w:tc>
      </w:tr>
      <w:tr w:rsidR="00955915" w:rsidRPr="009441E2" w14:paraId="3DCCAADC" w14:textId="77777777" w:rsidTr="001538D0">
        <w:trPr>
          <w:cantSplit/>
          <w:trHeight w:val="1224"/>
        </w:trPr>
        <w:tc>
          <w:tcPr>
            <w:tcW w:w="990" w:type="dxa"/>
            <w:gridSpan w:val="2"/>
            <w:vMerge/>
            <w:tcBorders>
              <w:bottom w:val="single" w:sz="4" w:space="0" w:color="auto"/>
            </w:tcBorders>
          </w:tcPr>
          <w:p w14:paraId="68E42612" w14:textId="77777777" w:rsidR="00A42695" w:rsidRDefault="00A42695" w:rsidP="00A42695">
            <w:pPr>
              <w:pStyle w:val="BodyText"/>
              <w:spacing w:before="120" w:after="0"/>
              <w:rPr>
                <w:rFonts w:eastAsia="Times New Roman"/>
                <w:sz w:val="20"/>
                <w:szCs w:val="20"/>
              </w:rPr>
            </w:pPr>
          </w:p>
        </w:tc>
        <w:tc>
          <w:tcPr>
            <w:tcW w:w="1700" w:type="dxa"/>
            <w:gridSpan w:val="2"/>
            <w:vMerge/>
            <w:tcBorders>
              <w:bottom w:val="single" w:sz="4" w:space="0" w:color="auto"/>
            </w:tcBorders>
          </w:tcPr>
          <w:p w14:paraId="1395828B" w14:textId="77777777" w:rsidR="00A42695" w:rsidRDefault="00A42695" w:rsidP="00A42695">
            <w:pPr>
              <w:pStyle w:val="BodyText"/>
              <w:spacing w:before="120" w:after="0"/>
              <w:rPr>
                <w:rFonts w:eastAsia="Times New Roman"/>
                <w:b/>
                <w:sz w:val="20"/>
                <w:szCs w:val="20"/>
              </w:rPr>
            </w:pPr>
          </w:p>
        </w:tc>
        <w:tc>
          <w:tcPr>
            <w:tcW w:w="4106" w:type="dxa"/>
            <w:vMerge/>
            <w:tcBorders>
              <w:bottom w:val="single" w:sz="4" w:space="0" w:color="auto"/>
            </w:tcBorders>
          </w:tcPr>
          <w:p w14:paraId="69BDC797" w14:textId="77777777" w:rsidR="00A42695" w:rsidRDefault="00A42695" w:rsidP="00A42695">
            <w:pPr>
              <w:pStyle w:val="BodyText"/>
              <w:spacing w:before="120" w:after="0"/>
              <w:rPr>
                <w:sz w:val="20"/>
              </w:rPr>
            </w:pPr>
          </w:p>
        </w:tc>
        <w:tc>
          <w:tcPr>
            <w:tcW w:w="3552" w:type="dxa"/>
            <w:gridSpan w:val="2"/>
            <w:vMerge/>
            <w:tcBorders>
              <w:bottom w:val="single" w:sz="4" w:space="0" w:color="auto"/>
            </w:tcBorders>
          </w:tcPr>
          <w:p w14:paraId="309ED56E" w14:textId="77777777" w:rsidR="00A42695" w:rsidRPr="009441E2" w:rsidRDefault="00A42695" w:rsidP="00A42695">
            <w:pPr>
              <w:pStyle w:val="BodyText"/>
              <w:spacing w:before="120" w:after="0"/>
              <w:rPr>
                <w:rFonts w:eastAsia="Times New Roman"/>
                <w:sz w:val="20"/>
                <w:szCs w:val="20"/>
              </w:rPr>
            </w:pPr>
          </w:p>
        </w:tc>
        <w:tc>
          <w:tcPr>
            <w:tcW w:w="425" w:type="dxa"/>
            <w:tcBorders>
              <w:bottom w:val="single" w:sz="4" w:space="0" w:color="auto"/>
            </w:tcBorders>
            <w:textDirection w:val="btLr"/>
            <w:vAlign w:val="center"/>
          </w:tcPr>
          <w:p w14:paraId="586EB42D" w14:textId="77777777" w:rsidR="00A42695" w:rsidRDefault="00A42695" w:rsidP="00A42695">
            <w:pPr>
              <w:spacing w:after="200" w:line="276" w:lineRule="auto"/>
              <w:ind w:left="113" w:right="113"/>
              <w:jc w:val="center"/>
              <w:rPr>
                <w:rFonts w:eastAsia="Times New Roman"/>
                <w:sz w:val="20"/>
                <w:szCs w:val="20"/>
              </w:rPr>
            </w:pPr>
            <w:r>
              <w:rPr>
                <w:rFonts w:eastAsia="Times New Roman"/>
                <w:sz w:val="20"/>
                <w:szCs w:val="20"/>
              </w:rPr>
              <w:t>Likely</w:t>
            </w:r>
          </w:p>
        </w:tc>
        <w:tc>
          <w:tcPr>
            <w:tcW w:w="426" w:type="dxa"/>
            <w:tcBorders>
              <w:bottom w:val="single" w:sz="4" w:space="0" w:color="auto"/>
            </w:tcBorders>
            <w:textDirection w:val="btLr"/>
            <w:vAlign w:val="center"/>
          </w:tcPr>
          <w:p w14:paraId="2A030CAC" w14:textId="77777777" w:rsidR="00A42695" w:rsidRDefault="00A42695" w:rsidP="00A42695">
            <w:pPr>
              <w:spacing w:after="200" w:line="276" w:lineRule="auto"/>
              <w:jc w:val="center"/>
              <w:rPr>
                <w:rFonts w:eastAsia="Times New Roman"/>
                <w:sz w:val="20"/>
                <w:szCs w:val="20"/>
              </w:rPr>
            </w:pPr>
            <w:r>
              <w:rPr>
                <w:rFonts w:eastAsia="Times New Roman"/>
                <w:sz w:val="20"/>
                <w:szCs w:val="20"/>
              </w:rPr>
              <w:t>Moderate</w:t>
            </w:r>
          </w:p>
        </w:tc>
        <w:tc>
          <w:tcPr>
            <w:tcW w:w="989" w:type="dxa"/>
            <w:tcBorders>
              <w:bottom w:val="single" w:sz="4" w:space="0" w:color="auto"/>
            </w:tcBorders>
            <w:shd w:val="clear" w:color="auto" w:fill="FFFF00"/>
            <w:textDirection w:val="btLr"/>
            <w:vAlign w:val="center"/>
          </w:tcPr>
          <w:p w14:paraId="5209F2A8" w14:textId="35444B2D" w:rsidR="00A42695" w:rsidRPr="00FD28C8" w:rsidRDefault="00A42695" w:rsidP="00A42695">
            <w:pPr>
              <w:jc w:val="center"/>
              <w:rPr>
                <w:sz w:val="20"/>
              </w:rPr>
            </w:pPr>
            <w:r>
              <w:rPr>
                <w:sz w:val="20"/>
              </w:rPr>
              <w:t>(Jul 19)</w:t>
            </w:r>
          </w:p>
        </w:tc>
        <w:tc>
          <w:tcPr>
            <w:tcW w:w="5386" w:type="dxa"/>
            <w:gridSpan w:val="2"/>
            <w:tcBorders>
              <w:bottom w:val="single" w:sz="4" w:space="0" w:color="auto"/>
            </w:tcBorders>
          </w:tcPr>
          <w:p w14:paraId="62AEFE81" w14:textId="519E4C67" w:rsidR="00A42695" w:rsidRDefault="00A42695" w:rsidP="00A42695">
            <w:pPr>
              <w:pStyle w:val="BodyText"/>
              <w:spacing w:before="120" w:after="0"/>
              <w:rPr>
                <w:rFonts w:eastAsia="Times New Roman"/>
                <w:b/>
                <w:sz w:val="20"/>
                <w:szCs w:val="20"/>
              </w:rPr>
            </w:pPr>
            <w:r>
              <w:rPr>
                <w:rFonts w:eastAsia="Times New Roman"/>
                <w:b/>
                <w:sz w:val="20"/>
                <w:szCs w:val="20"/>
              </w:rPr>
              <w:t xml:space="preserve">Treatment Option </w:t>
            </w:r>
            <w:r w:rsidR="00A95825">
              <w:rPr>
                <w:rFonts w:eastAsia="Times New Roman"/>
                <w:b/>
                <w:sz w:val="20"/>
                <w:szCs w:val="20"/>
              </w:rPr>
              <w:t>202</w:t>
            </w:r>
            <w:r w:rsidR="003C53F7">
              <w:rPr>
                <w:rFonts w:eastAsia="Times New Roman"/>
                <w:b/>
                <w:sz w:val="20"/>
                <w:szCs w:val="20"/>
              </w:rPr>
              <w:t>1</w:t>
            </w:r>
            <w:r>
              <w:rPr>
                <w:rFonts w:eastAsia="Times New Roman"/>
                <w:b/>
                <w:sz w:val="20"/>
                <w:szCs w:val="20"/>
              </w:rPr>
              <w:t>/0</w:t>
            </w:r>
            <w:r w:rsidR="002A30A0">
              <w:rPr>
                <w:rFonts w:eastAsia="Times New Roman"/>
                <w:b/>
                <w:sz w:val="20"/>
                <w:szCs w:val="20"/>
              </w:rPr>
              <w:t>9</w:t>
            </w:r>
            <w:r>
              <w:rPr>
                <w:rFonts w:eastAsia="Times New Roman"/>
                <w:b/>
                <w:sz w:val="20"/>
                <w:szCs w:val="20"/>
              </w:rPr>
              <w:t>/C:  Undertake a benchmarking survey of SAR expectations</w:t>
            </w:r>
          </w:p>
          <w:p w14:paraId="6E669525" w14:textId="77777777" w:rsidR="00A42695" w:rsidRPr="00596FAD" w:rsidRDefault="00A42695" w:rsidP="00A42695">
            <w:pPr>
              <w:pStyle w:val="BodyText"/>
              <w:spacing w:before="120" w:after="0"/>
              <w:rPr>
                <w:rFonts w:eastAsia="Times New Roman"/>
                <w:sz w:val="20"/>
                <w:szCs w:val="20"/>
              </w:rPr>
            </w:pPr>
            <w:r w:rsidRPr="00596FAD">
              <w:rPr>
                <w:rFonts w:eastAsia="Times New Roman"/>
                <w:sz w:val="20"/>
                <w:szCs w:val="20"/>
              </w:rPr>
              <w:t>Engage with the public on occasions to ascertain what their expectations of SAR are and measure trends in expectations</w:t>
            </w:r>
            <w:r>
              <w:rPr>
                <w:rFonts w:eastAsia="Times New Roman"/>
                <w:sz w:val="20"/>
                <w:szCs w:val="20"/>
              </w:rPr>
              <w:t>.</w:t>
            </w:r>
          </w:p>
        </w:tc>
        <w:tc>
          <w:tcPr>
            <w:tcW w:w="709" w:type="dxa"/>
            <w:tcBorders>
              <w:bottom w:val="single" w:sz="4" w:space="0" w:color="auto"/>
            </w:tcBorders>
            <w:shd w:val="clear" w:color="auto" w:fill="FFFF00"/>
            <w:textDirection w:val="btLr"/>
            <w:vAlign w:val="center"/>
          </w:tcPr>
          <w:p w14:paraId="46C6B135" w14:textId="440288D1" w:rsidR="00A42695" w:rsidRDefault="00A42695" w:rsidP="00A42695">
            <w:pPr>
              <w:pStyle w:val="BodyText"/>
              <w:spacing w:after="0"/>
              <w:jc w:val="center"/>
              <w:rPr>
                <w:rFonts w:eastAsia="Times New Roman"/>
                <w:sz w:val="20"/>
                <w:szCs w:val="20"/>
              </w:rPr>
            </w:pPr>
            <w:r>
              <w:rPr>
                <w:rFonts w:eastAsia="Times New Roman"/>
                <w:sz w:val="20"/>
                <w:szCs w:val="20"/>
              </w:rPr>
              <w:t>Partial</w:t>
            </w:r>
          </w:p>
        </w:tc>
        <w:tc>
          <w:tcPr>
            <w:tcW w:w="854" w:type="dxa"/>
            <w:tcBorders>
              <w:bottom w:val="single" w:sz="4" w:space="0" w:color="auto"/>
            </w:tcBorders>
            <w:shd w:val="clear" w:color="auto" w:fill="00B050"/>
            <w:textDirection w:val="btLr"/>
            <w:vAlign w:val="center"/>
          </w:tcPr>
          <w:p w14:paraId="70749710" w14:textId="35331110" w:rsidR="00A42695" w:rsidRDefault="00A42695" w:rsidP="00A42695">
            <w:pPr>
              <w:pStyle w:val="BodyText"/>
              <w:spacing w:before="120" w:after="0"/>
              <w:ind w:left="113" w:right="113"/>
              <w:jc w:val="center"/>
              <w:rPr>
                <w:rFonts w:eastAsia="Times New Roman"/>
                <w:sz w:val="20"/>
                <w:szCs w:val="20"/>
              </w:rPr>
            </w:pPr>
            <w:r>
              <w:rPr>
                <w:rFonts w:eastAsia="Times New Roman"/>
                <w:sz w:val="20"/>
                <w:szCs w:val="20"/>
              </w:rPr>
              <w:t>20</w:t>
            </w:r>
            <w:r w:rsidR="00B83C2D">
              <w:rPr>
                <w:rFonts w:eastAsia="Times New Roman"/>
                <w:sz w:val="20"/>
                <w:szCs w:val="20"/>
              </w:rPr>
              <w:t xml:space="preserve">20 / </w:t>
            </w:r>
            <w:r>
              <w:rPr>
                <w:rFonts w:eastAsia="Times New Roman"/>
                <w:sz w:val="20"/>
                <w:szCs w:val="20"/>
              </w:rPr>
              <w:t>21</w:t>
            </w:r>
          </w:p>
        </w:tc>
        <w:tc>
          <w:tcPr>
            <w:tcW w:w="3260" w:type="dxa"/>
            <w:tcBorders>
              <w:bottom w:val="single" w:sz="4" w:space="0" w:color="auto"/>
            </w:tcBorders>
          </w:tcPr>
          <w:p w14:paraId="43D42CEF" w14:textId="67B2CDAA" w:rsidR="00A42695" w:rsidRPr="009441E2" w:rsidRDefault="00A42695" w:rsidP="00A42695">
            <w:pPr>
              <w:pStyle w:val="BodyText"/>
              <w:spacing w:before="120" w:after="0"/>
              <w:rPr>
                <w:rFonts w:eastAsia="Times New Roman"/>
                <w:sz w:val="20"/>
                <w:szCs w:val="20"/>
              </w:rPr>
            </w:pPr>
            <w:r>
              <w:rPr>
                <w:rFonts w:eastAsia="Times New Roman"/>
                <w:sz w:val="20"/>
                <w:szCs w:val="20"/>
              </w:rPr>
              <w:t>One survey completed.  Additional ones are required</w:t>
            </w:r>
            <w:r w:rsidR="00B83C2D">
              <w:rPr>
                <w:rFonts w:eastAsia="Times New Roman"/>
                <w:sz w:val="20"/>
                <w:szCs w:val="20"/>
              </w:rPr>
              <w:t xml:space="preserve"> and are provisionally planned for 2020 / 21.</w:t>
            </w:r>
          </w:p>
        </w:tc>
      </w:tr>
    </w:tbl>
    <w:p w14:paraId="27BDB3E7" w14:textId="33AB73D2" w:rsidR="001538D0" w:rsidRDefault="001538D0"/>
    <w:p w14:paraId="5386FD07" w14:textId="7CA5E927" w:rsidR="001538D0" w:rsidRDefault="001538D0"/>
    <w:p w14:paraId="03EE87CA" w14:textId="70DC055B" w:rsidR="001538D0" w:rsidRDefault="001538D0"/>
    <w:p w14:paraId="43C65E02" w14:textId="2C114693" w:rsidR="001538D0" w:rsidRDefault="001538D0"/>
    <w:p w14:paraId="2DCD32B2" w14:textId="341EA078" w:rsidR="001538D0" w:rsidRDefault="001538D0"/>
    <w:tbl>
      <w:tblPr>
        <w:tblStyle w:val="TableGrid"/>
        <w:tblW w:w="22397" w:type="dxa"/>
        <w:tblInd w:w="-459" w:type="dxa"/>
        <w:tblLayout w:type="fixed"/>
        <w:tblLook w:val="04A0" w:firstRow="1" w:lastRow="0" w:firstColumn="1" w:lastColumn="0" w:noHBand="0" w:noVBand="1"/>
      </w:tblPr>
      <w:tblGrid>
        <w:gridCol w:w="990"/>
        <w:gridCol w:w="1700"/>
        <w:gridCol w:w="4113"/>
        <w:gridCol w:w="3545"/>
        <w:gridCol w:w="425"/>
        <w:gridCol w:w="426"/>
        <w:gridCol w:w="989"/>
        <w:gridCol w:w="5386"/>
        <w:gridCol w:w="709"/>
        <w:gridCol w:w="854"/>
        <w:gridCol w:w="3260"/>
      </w:tblGrid>
      <w:tr w:rsidR="001538D0" w:rsidRPr="00286A2D" w14:paraId="4D3F44A8" w14:textId="77777777" w:rsidTr="001538D0">
        <w:trPr>
          <w:trHeight w:val="1701"/>
        </w:trPr>
        <w:tc>
          <w:tcPr>
            <w:tcW w:w="990" w:type="dxa"/>
            <w:shd w:val="clear" w:color="auto" w:fill="FABF8F" w:themeFill="accent6" w:themeFillTint="99"/>
            <w:textDirection w:val="btLr"/>
            <w:vAlign w:val="center"/>
          </w:tcPr>
          <w:p w14:paraId="709EDA8E" w14:textId="77777777" w:rsidR="001538D0" w:rsidRPr="00286A2D" w:rsidRDefault="001538D0" w:rsidP="001538D0">
            <w:pPr>
              <w:ind w:left="113" w:right="113"/>
              <w:jc w:val="center"/>
              <w:rPr>
                <w:b/>
                <w:sz w:val="20"/>
                <w:szCs w:val="20"/>
              </w:rPr>
            </w:pPr>
            <w:r w:rsidRPr="00286A2D">
              <w:rPr>
                <w:b/>
                <w:sz w:val="20"/>
                <w:szCs w:val="20"/>
              </w:rPr>
              <w:t>Risk #</w:t>
            </w:r>
          </w:p>
        </w:tc>
        <w:tc>
          <w:tcPr>
            <w:tcW w:w="1700" w:type="dxa"/>
            <w:shd w:val="clear" w:color="auto" w:fill="FABF8F" w:themeFill="accent6" w:themeFillTint="99"/>
            <w:vAlign w:val="center"/>
          </w:tcPr>
          <w:p w14:paraId="19336ABB" w14:textId="77777777" w:rsidR="001538D0" w:rsidRPr="00286A2D" w:rsidRDefault="001538D0" w:rsidP="001538D0">
            <w:pPr>
              <w:jc w:val="center"/>
              <w:rPr>
                <w:b/>
                <w:sz w:val="20"/>
                <w:szCs w:val="20"/>
              </w:rPr>
            </w:pPr>
            <w:r w:rsidRPr="00286A2D">
              <w:rPr>
                <w:b/>
                <w:sz w:val="20"/>
                <w:szCs w:val="20"/>
              </w:rPr>
              <w:t>Risk Description</w:t>
            </w:r>
          </w:p>
        </w:tc>
        <w:tc>
          <w:tcPr>
            <w:tcW w:w="4113" w:type="dxa"/>
            <w:shd w:val="clear" w:color="auto" w:fill="FABF8F" w:themeFill="accent6" w:themeFillTint="99"/>
            <w:vAlign w:val="center"/>
          </w:tcPr>
          <w:p w14:paraId="64924632" w14:textId="77777777" w:rsidR="001538D0" w:rsidRPr="00286A2D" w:rsidRDefault="001538D0" w:rsidP="001538D0">
            <w:pPr>
              <w:jc w:val="center"/>
              <w:rPr>
                <w:b/>
                <w:sz w:val="20"/>
                <w:szCs w:val="20"/>
              </w:rPr>
            </w:pPr>
            <w:r w:rsidRPr="00286A2D">
              <w:rPr>
                <w:b/>
                <w:sz w:val="20"/>
                <w:szCs w:val="20"/>
              </w:rPr>
              <w:t>Reasons or Causes</w:t>
            </w:r>
          </w:p>
        </w:tc>
        <w:tc>
          <w:tcPr>
            <w:tcW w:w="3545" w:type="dxa"/>
            <w:shd w:val="clear" w:color="auto" w:fill="FABF8F" w:themeFill="accent6" w:themeFillTint="99"/>
            <w:vAlign w:val="center"/>
          </w:tcPr>
          <w:p w14:paraId="5A9BEA31" w14:textId="77777777" w:rsidR="001538D0" w:rsidRPr="00286A2D" w:rsidRDefault="001538D0" w:rsidP="001538D0">
            <w:pPr>
              <w:spacing w:line="360" w:lineRule="auto"/>
              <w:jc w:val="center"/>
              <w:rPr>
                <w:b/>
                <w:sz w:val="20"/>
                <w:szCs w:val="20"/>
              </w:rPr>
            </w:pPr>
            <w:r>
              <w:rPr>
                <w:b/>
                <w:sz w:val="20"/>
                <w:szCs w:val="20"/>
              </w:rPr>
              <w:t>Consequences</w:t>
            </w:r>
          </w:p>
        </w:tc>
        <w:tc>
          <w:tcPr>
            <w:tcW w:w="425" w:type="dxa"/>
            <w:shd w:val="clear" w:color="auto" w:fill="FABF8F" w:themeFill="accent6" w:themeFillTint="99"/>
            <w:textDirection w:val="btLr"/>
            <w:vAlign w:val="center"/>
          </w:tcPr>
          <w:p w14:paraId="2A744793" w14:textId="77777777" w:rsidR="001538D0" w:rsidRPr="00286A2D" w:rsidRDefault="001538D0" w:rsidP="001538D0">
            <w:pPr>
              <w:spacing w:line="360" w:lineRule="auto"/>
              <w:ind w:left="113" w:right="113"/>
              <w:jc w:val="center"/>
              <w:rPr>
                <w:b/>
                <w:sz w:val="20"/>
                <w:szCs w:val="20"/>
              </w:rPr>
            </w:pPr>
            <w:r w:rsidRPr="00286A2D">
              <w:rPr>
                <w:b/>
                <w:sz w:val="20"/>
                <w:szCs w:val="20"/>
              </w:rPr>
              <w:t>Probability</w:t>
            </w:r>
          </w:p>
        </w:tc>
        <w:tc>
          <w:tcPr>
            <w:tcW w:w="426" w:type="dxa"/>
            <w:shd w:val="clear" w:color="auto" w:fill="FABF8F" w:themeFill="accent6" w:themeFillTint="99"/>
            <w:textDirection w:val="btLr"/>
            <w:vAlign w:val="center"/>
          </w:tcPr>
          <w:p w14:paraId="49EA89D9" w14:textId="77777777" w:rsidR="001538D0" w:rsidRPr="00286A2D" w:rsidRDefault="001538D0" w:rsidP="001538D0">
            <w:pPr>
              <w:spacing w:line="360" w:lineRule="auto"/>
              <w:jc w:val="center"/>
              <w:rPr>
                <w:b/>
                <w:sz w:val="20"/>
                <w:szCs w:val="20"/>
              </w:rPr>
            </w:pPr>
            <w:r w:rsidRPr="00286A2D">
              <w:rPr>
                <w:b/>
                <w:sz w:val="20"/>
                <w:szCs w:val="20"/>
              </w:rPr>
              <w:t>Impact</w:t>
            </w:r>
          </w:p>
        </w:tc>
        <w:tc>
          <w:tcPr>
            <w:tcW w:w="989" w:type="dxa"/>
            <w:shd w:val="clear" w:color="auto" w:fill="FABF8F" w:themeFill="accent6" w:themeFillTint="99"/>
            <w:textDirection w:val="btLr"/>
            <w:vAlign w:val="center"/>
          </w:tcPr>
          <w:p w14:paraId="45B7338E" w14:textId="77777777" w:rsidR="001538D0" w:rsidRPr="00286A2D" w:rsidRDefault="001538D0" w:rsidP="001538D0">
            <w:pPr>
              <w:jc w:val="center"/>
              <w:rPr>
                <w:b/>
                <w:sz w:val="20"/>
                <w:szCs w:val="20"/>
              </w:rPr>
            </w:pPr>
            <w:r>
              <w:rPr>
                <w:b/>
                <w:sz w:val="20"/>
                <w:szCs w:val="20"/>
              </w:rPr>
              <w:t xml:space="preserve">Risk </w:t>
            </w:r>
            <w:r w:rsidRPr="00286A2D">
              <w:rPr>
                <w:b/>
                <w:sz w:val="20"/>
                <w:szCs w:val="20"/>
              </w:rPr>
              <w:t>Level</w:t>
            </w:r>
            <w:r>
              <w:rPr>
                <w:b/>
                <w:sz w:val="20"/>
                <w:szCs w:val="20"/>
              </w:rPr>
              <w:t xml:space="preserve"> (Reviewed)</w:t>
            </w:r>
          </w:p>
        </w:tc>
        <w:tc>
          <w:tcPr>
            <w:tcW w:w="5386" w:type="dxa"/>
            <w:shd w:val="clear" w:color="auto" w:fill="FABF8F" w:themeFill="accent6" w:themeFillTint="99"/>
            <w:vAlign w:val="center"/>
          </w:tcPr>
          <w:p w14:paraId="2041B3BE" w14:textId="77777777" w:rsidR="001538D0" w:rsidRPr="00286A2D" w:rsidRDefault="001538D0" w:rsidP="001538D0">
            <w:pPr>
              <w:jc w:val="center"/>
              <w:rPr>
                <w:b/>
                <w:sz w:val="20"/>
                <w:szCs w:val="20"/>
              </w:rPr>
            </w:pPr>
            <w:r>
              <w:rPr>
                <w:b/>
                <w:sz w:val="20"/>
                <w:szCs w:val="20"/>
              </w:rPr>
              <w:t>Risk Treatment(s)</w:t>
            </w:r>
          </w:p>
        </w:tc>
        <w:tc>
          <w:tcPr>
            <w:tcW w:w="709" w:type="dxa"/>
            <w:shd w:val="clear" w:color="auto" w:fill="FABF8F" w:themeFill="accent6" w:themeFillTint="99"/>
            <w:textDirection w:val="btLr"/>
            <w:vAlign w:val="center"/>
          </w:tcPr>
          <w:p w14:paraId="13993BBF" w14:textId="77777777" w:rsidR="001538D0" w:rsidRDefault="001538D0" w:rsidP="001538D0">
            <w:pPr>
              <w:jc w:val="center"/>
              <w:rPr>
                <w:b/>
                <w:sz w:val="20"/>
                <w:szCs w:val="20"/>
              </w:rPr>
            </w:pPr>
            <w:r>
              <w:rPr>
                <w:b/>
                <w:sz w:val="20"/>
                <w:szCs w:val="20"/>
              </w:rPr>
              <w:t>Treatment Implementation</w:t>
            </w:r>
          </w:p>
        </w:tc>
        <w:tc>
          <w:tcPr>
            <w:tcW w:w="854" w:type="dxa"/>
            <w:shd w:val="clear" w:color="auto" w:fill="FABF8F" w:themeFill="accent6" w:themeFillTint="99"/>
            <w:textDirection w:val="btLr"/>
            <w:vAlign w:val="center"/>
          </w:tcPr>
          <w:p w14:paraId="7895B8F1" w14:textId="77777777" w:rsidR="001538D0" w:rsidRDefault="001538D0" w:rsidP="001538D0">
            <w:pPr>
              <w:jc w:val="center"/>
              <w:rPr>
                <w:b/>
                <w:sz w:val="20"/>
                <w:szCs w:val="20"/>
              </w:rPr>
            </w:pPr>
            <w:r>
              <w:rPr>
                <w:b/>
                <w:sz w:val="20"/>
                <w:szCs w:val="20"/>
              </w:rPr>
              <w:t>Post Treatment</w:t>
            </w:r>
          </w:p>
          <w:p w14:paraId="22E4FC59" w14:textId="77777777" w:rsidR="001538D0" w:rsidRPr="00286A2D" w:rsidRDefault="001538D0" w:rsidP="001538D0">
            <w:pPr>
              <w:ind w:left="113" w:right="113"/>
              <w:jc w:val="center"/>
              <w:rPr>
                <w:b/>
                <w:sz w:val="20"/>
                <w:szCs w:val="20"/>
              </w:rPr>
            </w:pPr>
            <w:r>
              <w:rPr>
                <w:b/>
                <w:sz w:val="20"/>
                <w:szCs w:val="20"/>
              </w:rPr>
              <w:t>Impact</w:t>
            </w:r>
          </w:p>
        </w:tc>
        <w:tc>
          <w:tcPr>
            <w:tcW w:w="3260" w:type="dxa"/>
            <w:shd w:val="clear" w:color="auto" w:fill="FABF8F" w:themeFill="accent6" w:themeFillTint="99"/>
            <w:vAlign w:val="center"/>
          </w:tcPr>
          <w:p w14:paraId="45B1B37B" w14:textId="77777777" w:rsidR="001538D0" w:rsidRPr="00286A2D" w:rsidRDefault="001538D0" w:rsidP="001538D0">
            <w:pPr>
              <w:jc w:val="center"/>
              <w:rPr>
                <w:b/>
                <w:sz w:val="20"/>
                <w:szCs w:val="20"/>
              </w:rPr>
            </w:pPr>
            <w:r>
              <w:rPr>
                <w:b/>
                <w:sz w:val="20"/>
                <w:szCs w:val="20"/>
              </w:rPr>
              <w:t>Comments / Examples</w:t>
            </w:r>
          </w:p>
        </w:tc>
      </w:tr>
      <w:tr w:rsidR="00955915" w:rsidRPr="00EF28E0" w14:paraId="1D891CE0" w14:textId="77777777" w:rsidTr="001538D0">
        <w:trPr>
          <w:cantSplit/>
          <w:trHeight w:val="1340"/>
        </w:trPr>
        <w:tc>
          <w:tcPr>
            <w:tcW w:w="990" w:type="dxa"/>
            <w:vMerge w:val="restart"/>
            <w:tcBorders>
              <w:top w:val="single" w:sz="4" w:space="0" w:color="auto"/>
            </w:tcBorders>
          </w:tcPr>
          <w:p w14:paraId="341F2D7D" w14:textId="4E316B4E" w:rsidR="00A42695" w:rsidRPr="00EF28E0" w:rsidRDefault="00A95825" w:rsidP="00A42695">
            <w:pPr>
              <w:pStyle w:val="BodyText"/>
              <w:spacing w:before="120" w:after="0"/>
              <w:rPr>
                <w:rFonts w:eastAsia="Times New Roman"/>
                <w:sz w:val="20"/>
                <w:szCs w:val="20"/>
              </w:rPr>
            </w:pPr>
            <w:r>
              <w:rPr>
                <w:rFonts w:eastAsia="Times New Roman"/>
                <w:sz w:val="20"/>
                <w:szCs w:val="20"/>
              </w:rPr>
              <w:t>202</w:t>
            </w:r>
            <w:r w:rsidR="003C53F7">
              <w:rPr>
                <w:rFonts w:eastAsia="Times New Roman"/>
                <w:sz w:val="20"/>
                <w:szCs w:val="20"/>
              </w:rPr>
              <w:t>1</w:t>
            </w:r>
            <w:r w:rsidR="00A42695">
              <w:rPr>
                <w:rFonts w:eastAsia="Times New Roman"/>
                <w:sz w:val="20"/>
                <w:szCs w:val="20"/>
              </w:rPr>
              <w:t>/10</w:t>
            </w:r>
          </w:p>
        </w:tc>
        <w:tc>
          <w:tcPr>
            <w:tcW w:w="1700" w:type="dxa"/>
            <w:vMerge w:val="restart"/>
            <w:tcBorders>
              <w:top w:val="single" w:sz="4" w:space="0" w:color="auto"/>
            </w:tcBorders>
          </w:tcPr>
          <w:p w14:paraId="2B20F046" w14:textId="77777777" w:rsidR="00A42695" w:rsidRPr="00EF28E0" w:rsidRDefault="00A42695" w:rsidP="00A42695">
            <w:pPr>
              <w:pStyle w:val="BodyText"/>
              <w:spacing w:before="120" w:after="0"/>
              <w:rPr>
                <w:rFonts w:eastAsia="Times New Roman"/>
                <w:b/>
                <w:sz w:val="20"/>
                <w:szCs w:val="20"/>
              </w:rPr>
            </w:pPr>
            <w:r w:rsidRPr="00EF28E0">
              <w:rPr>
                <w:rFonts w:eastAsia="Times New Roman"/>
                <w:b/>
                <w:sz w:val="20"/>
                <w:szCs w:val="20"/>
              </w:rPr>
              <w:t>SAR Demand</w:t>
            </w:r>
          </w:p>
          <w:p w14:paraId="29AE7B6F" w14:textId="77777777" w:rsidR="00A42695" w:rsidRPr="00EF28E0" w:rsidRDefault="00A42695" w:rsidP="00A42695">
            <w:pPr>
              <w:pStyle w:val="BodyText"/>
              <w:spacing w:before="120" w:after="0"/>
              <w:rPr>
                <w:rFonts w:eastAsia="Times New Roman"/>
                <w:sz w:val="20"/>
                <w:szCs w:val="20"/>
              </w:rPr>
            </w:pPr>
            <w:r w:rsidRPr="00EF28E0">
              <w:rPr>
                <w:rFonts w:eastAsia="Times New Roman"/>
                <w:sz w:val="20"/>
                <w:szCs w:val="20"/>
              </w:rPr>
              <w:t>Change</w:t>
            </w:r>
            <w:r>
              <w:rPr>
                <w:rFonts w:eastAsia="Times New Roman"/>
                <w:sz w:val="20"/>
                <w:szCs w:val="20"/>
              </w:rPr>
              <w:t xml:space="preserve">s to </w:t>
            </w:r>
            <w:r w:rsidRPr="00EF28E0">
              <w:rPr>
                <w:rFonts w:eastAsia="Times New Roman"/>
                <w:sz w:val="20"/>
                <w:szCs w:val="20"/>
              </w:rPr>
              <w:t xml:space="preserve">the </w:t>
            </w:r>
            <w:r w:rsidRPr="00B626D0">
              <w:rPr>
                <w:rFonts w:eastAsia="Times New Roman"/>
                <w:sz w:val="20"/>
                <w:szCs w:val="20"/>
              </w:rPr>
              <w:t>nature</w:t>
            </w:r>
            <w:r w:rsidRPr="00EF28E0">
              <w:rPr>
                <w:rFonts w:eastAsia="Times New Roman"/>
                <w:sz w:val="20"/>
                <w:szCs w:val="20"/>
              </w:rPr>
              <w:t xml:space="preserve"> of SAR demand</w:t>
            </w:r>
            <w:r>
              <w:rPr>
                <w:rFonts w:eastAsia="Times New Roman"/>
                <w:sz w:val="20"/>
                <w:szCs w:val="20"/>
              </w:rPr>
              <w:t>.</w:t>
            </w:r>
          </w:p>
        </w:tc>
        <w:tc>
          <w:tcPr>
            <w:tcW w:w="4113" w:type="dxa"/>
            <w:vMerge w:val="restart"/>
            <w:tcBorders>
              <w:top w:val="single" w:sz="4" w:space="0" w:color="auto"/>
            </w:tcBorders>
          </w:tcPr>
          <w:p w14:paraId="25C2082C" w14:textId="77777777" w:rsidR="00A42695" w:rsidRDefault="00A42695" w:rsidP="00A42695">
            <w:pPr>
              <w:pStyle w:val="Default"/>
              <w:rPr>
                <w:color w:val="auto"/>
                <w:sz w:val="20"/>
                <w:szCs w:val="20"/>
              </w:rPr>
            </w:pPr>
            <w:r w:rsidRPr="00EF28E0">
              <w:rPr>
                <w:color w:val="auto"/>
                <w:sz w:val="20"/>
                <w:szCs w:val="20"/>
              </w:rPr>
              <w:t xml:space="preserve">Change </w:t>
            </w:r>
            <w:r>
              <w:rPr>
                <w:color w:val="auto"/>
                <w:sz w:val="20"/>
                <w:szCs w:val="20"/>
              </w:rPr>
              <w:t>in SAR demand may be caused by shifts to New Zealand’s demographic profile, population growth (or shrinkage), urban spread, tourism growth, climate / meteorological / geological change, new or changed recreational pursuits and/or locations.</w:t>
            </w:r>
          </w:p>
          <w:p w14:paraId="1FC05854" w14:textId="77777777" w:rsidR="00A42695" w:rsidRDefault="00A42695" w:rsidP="00A42695">
            <w:pPr>
              <w:pStyle w:val="Default"/>
              <w:rPr>
                <w:color w:val="auto"/>
                <w:sz w:val="20"/>
                <w:szCs w:val="20"/>
              </w:rPr>
            </w:pPr>
          </w:p>
          <w:p w14:paraId="310947E9" w14:textId="355A0DA1" w:rsidR="00A42695" w:rsidRPr="00EF28E0" w:rsidRDefault="00A42695" w:rsidP="00A42695">
            <w:pPr>
              <w:pStyle w:val="Default"/>
              <w:rPr>
                <w:color w:val="auto"/>
                <w:sz w:val="20"/>
                <w:szCs w:val="20"/>
              </w:rPr>
            </w:pPr>
            <w:r>
              <w:rPr>
                <w:color w:val="auto"/>
                <w:sz w:val="20"/>
                <w:szCs w:val="20"/>
              </w:rPr>
              <w:t>Change may also occur in personal risk appetite and/or preparedness to request SAR assistance.</w:t>
            </w:r>
            <w:r w:rsidR="00D60822">
              <w:rPr>
                <w:color w:val="auto"/>
                <w:sz w:val="20"/>
                <w:szCs w:val="20"/>
              </w:rPr>
              <w:t xml:space="preserve">  (see also treatment 2020/05/C)</w:t>
            </w:r>
          </w:p>
        </w:tc>
        <w:tc>
          <w:tcPr>
            <w:tcW w:w="3545" w:type="dxa"/>
            <w:vMerge w:val="restart"/>
            <w:tcBorders>
              <w:top w:val="single" w:sz="4" w:space="0" w:color="auto"/>
            </w:tcBorders>
          </w:tcPr>
          <w:p w14:paraId="4C1894BA" w14:textId="77777777" w:rsidR="00A42695" w:rsidRDefault="00A42695" w:rsidP="00A42695">
            <w:pPr>
              <w:pStyle w:val="BodyText"/>
              <w:spacing w:before="120" w:after="0"/>
              <w:rPr>
                <w:rFonts w:eastAsia="Times New Roman"/>
                <w:sz w:val="20"/>
                <w:szCs w:val="20"/>
              </w:rPr>
            </w:pPr>
            <w:r>
              <w:rPr>
                <w:rFonts w:eastAsia="Times New Roman"/>
                <w:sz w:val="20"/>
                <w:szCs w:val="20"/>
              </w:rPr>
              <w:t xml:space="preserve">The sector may find itself inadequately prepared and resourced to respond to changes in SAR demand. </w:t>
            </w:r>
          </w:p>
          <w:p w14:paraId="660E90AA" w14:textId="77777777" w:rsidR="00A42695" w:rsidRDefault="00A42695" w:rsidP="00A42695">
            <w:pPr>
              <w:pStyle w:val="BodyText"/>
              <w:spacing w:before="120" w:after="0"/>
              <w:rPr>
                <w:rFonts w:eastAsia="Times New Roman"/>
                <w:sz w:val="20"/>
                <w:szCs w:val="20"/>
              </w:rPr>
            </w:pPr>
            <w:r>
              <w:rPr>
                <w:rFonts w:eastAsia="Times New Roman"/>
                <w:sz w:val="20"/>
                <w:szCs w:val="20"/>
              </w:rPr>
              <w:t>Resources / capabilities / coordination may not be appropriate nor possess the relevant skills and equipment to effectively respond.</w:t>
            </w:r>
          </w:p>
          <w:p w14:paraId="57D0B594" w14:textId="77777777" w:rsidR="00A42695" w:rsidRDefault="00A42695" w:rsidP="00A42695">
            <w:pPr>
              <w:pStyle w:val="BodyText"/>
              <w:spacing w:before="120" w:after="0"/>
              <w:rPr>
                <w:rFonts w:eastAsia="Times New Roman"/>
                <w:sz w:val="20"/>
                <w:szCs w:val="20"/>
              </w:rPr>
            </w:pPr>
            <w:r>
              <w:rPr>
                <w:rFonts w:eastAsia="Times New Roman"/>
                <w:sz w:val="20"/>
                <w:szCs w:val="20"/>
              </w:rPr>
              <w:t>Conversely – costly existing capabilities may be excessive to meet a changed SAR demand profile.</w:t>
            </w:r>
          </w:p>
          <w:p w14:paraId="7CD2D736" w14:textId="77777777" w:rsidR="00A42695" w:rsidRDefault="00A42695" w:rsidP="00A42695">
            <w:pPr>
              <w:pStyle w:val="BodyText"/>
              <w:spacing w:before="120" w:after="0"/>
              <w:rPr>
                <w:rFonts w:eastAsia="Times New Roman"/>
                <w:sz w:val="20"/>
                <w:szCs w:val="20"/>
              </w:rPr>
            </w:pPr>
            <w:r>
              <w:rPr>
                <w:rFonts w:eastAsia="Times New Roman"/>
                <w:sz w:val="20"/>
                <w:szCs w:val="20"/>
              </w:rPr>
              <w:t>Changes to SAR capacity can be very costly.  Volunteers in Units / Clubs / groups may be resistant to change.</w:t>
            </w:r>
          </w:p>
          <w:p w14:paraId="3F973AC3" w14:textId="77777777" w:rsidR="00A42695" w:rsidRDefault="00A42695" w:rsidP="00A42695">
            <w:pPr>
              <w:pStyle w:val="BodyText"/>
              <w:spacing w:before="120" w:after="0"/>
              <w:rPr>
                <w:rFonts w:eastAsia="Times New Roman"/>
                <w:sz w:val="20"/>
                <w:szCs w:val="20"/>
              </w:rPr>
            </w:pPr>
            <w:r>
              <w:rPr>
                <w:rFonts w:eastAsia="Times New Roman"/>
                <w:sz w:val="20"/>
                <w:szCs w:val="20"/>
              </w:rPr>
              <w:t>The ability of SAR agencies to respond or scale to identify change is limited.</w:t>
            </w:r>
          </w:p>
          <w:p w14:paraId="27B62654" w14:textId="77777777" w:rsidR="00A42695" w:rsidRDefault="00A42695" w:rsidP="00A42695">
            <w:pPr>
              <w:pStyle w:val="BodyText"/>
              <w:spacing w:before="120" w:after="0"/>
              <w:rPr>
                <w:rFonts w:eastAsia="Times New Roman"/>
                <w:sz w:val="20"/>
                <w:szCs w:val="20"/>
              </w:rPr>
            </w:pPr>
            <w:r>
              <w:rPr>
                <w:rFonts w:eastAsia="Times New Roman"/>
                <w:sz w:val="20"/>
                <w:szCs w:val="20"/>
              </w:rPr>
              <w:t>The sector has very limited internal capacity to recovery from natural disasters.</w:t>
            </w:r>
          </w:p>
          <w:p w14:paraId="356CCB8D" w14:textId="77777777" w:rsidR="00A42695" w:rsidRPr="00472128" w:rsidRDefault="00A42695" w:rsidP="00A42695">
            <w:pPr>
              <w:pStyle w:val="BodyText"/>
              <w:spacing w:before="120" w:after="0"/>
              <w:rPr>
                <w:rFonts w:eastAsia="Times New Roman"/>
                <w:sz w:val="20"/>
                <w:szCs w:val="20"/>
              </w:rPr>
            </w:pPr>
            <w:r>
              <w:rPr>
                <w:rFonts w:eastAsia="Times New Roman"/>
                <w:sz w:val="20"/>
                <w:szCs w:val="20"/>
              </w:rPr>
              <w:t xml:space="preserve">Sector may have the ‘right’ resources in the ‘wrong’ </w:t>
            </w:r>
            <w:r w:rsidRPr="00472128">
              <w:rPr>
                <w:rFonts w:eastAsia="Times New Roman"/>
                <w:sz w:val="20"/>
                <w:szCs w:val="20"/>
              </w:rPr>
              <w:t>locations.</w:t>
            </w:r>
          </w:p>
          <w:p w14:paraId="11E9360A" w14:textId="7F716718" w:rsidR="00CA69B8" w:rsidRPr="00EF28E0" w:rsidRDefault="00CA69B8" w:rsidP="00A42695">
            <w:pPr>
              <w:pStyle w:val="BodyText"/>
              <w:spacing w:before="120" w:after="0"/>
              <w:rPr>
                <w:rFonts w:eastAsia="Times New Roman"/>
                <w:sz w:val="20"/>
                <w:szCs w:val="20"/>
              </w:rPr>
            </w:pPr>
            <w:r w:rsidRPr="00472128">
              <w:rPr>
                <w:rFonts w:eastAsia="Times New Roman"/>
                <w:sz w:val="20"/>
                <w:szCs w:val="20"/>
              </w:rPr>
              <w:t>Breadth of role changes requiring different skills and availability.</w:t>
            </w:r>
          </w:p>
        </w:tc>
        <w:tc>
          <w:tcPr>
            <w:tcW w:w="425" w:type="dxa"/>
            <w:vMerge w:val="restart"/>
            <w:tcBorders>
              <w:top w:val="single" w:sz="4" w:space="0" w:color="auto"/>
            </w:tcBorders>
            <w:textDirection w:val="btLr"/>
            <w:vAlign w:val="center"/>
          </w:tcPr>
          <w:p w14:paraId="3ACAE916" w14:textId="77777777" w:rsidR="00A42695" w:rsidRPr="00EF28E0" w:rsidRDefault="00A42695" w:rsidP="00A42695">
            <w:pPr>
              <w:jc w:val="center"/>
              <w:rPr>
                <w:rFonts w:eastAsia="Times New Roman"/>
                <w:sz w:val="20"/>
                <w:szCs w:val="20"/>
              </w:rPr>
            </w:pPr>
            <w:r>
              <w:rPr>
                <w:rFonts w:eastAsia="Times New Roman"/>
                <w:sz w:val="20"/>
                <w:szCs w:val="20"/>
              </w:rPr>
              <w:t>Likely</w:t>
            </w:r>
          </w:p>
        </w:tc>
        <w:tc>
          <w:tcPr>
            <w:tcW w:w="426" w:type="dxa"/>
            <w:vMerge w:val="restart"/>
            <w:tcBorders>
              <w:top w:val="single" w:sz="4" w:space="0" w:color="auto"/>
            </w:tcBorders>
            <w:textDirection w:val="btLr"/>
            <w:vAlign w:val="center"/>
          </w:tcPr>
          <w:p w14:paraId="155CC776" w14:textId="77777777" w:rsidR="00A42695" w:rsidRPr="00EF28E0" w:rsidRDefault="00A42695" w:rsidP="00A42695">
            <w:pPr>
              <w:jc w:val="center"/>
              <w:rPr>
                <w:rFonts w:eastAsia="Times New Roman"/>
                <w:sz w:val="20"/>
                <w:szCs w:val="20"/>
              </w:rPr>
            </w:pPr>
            <w:r>
              <w:rPr>
                <w:rFonts w:eastAsia="Times New Roman"/>
                <w:sz w:val="20"/>
                <w:szCs w:val="20"/>
              </w:rPr>
              <w:t>Moderate</w:t>
            </w:r>
          </w:p>
        </w:tc>
        <w:tc>
          <w:tcPr>
            <w:tcW w:w="989" w:type="dxa"/>
            <w:vMerge w:val="restart"/>
            <w:tcBorders>
              <w:top w:val="single" w:sz="4" w:space="0" w:color="auto"/>
            </w:tcBorders>
            <w:shd w:val="clear" w:color="auto" w:fill="FFFF00"/>
            <w:textDirection w:val="btLr"/>
            <w:vAlign w:val="center"/>
          </w:tcPr>
          <w:p w14:paraId="235CC4DF" w14:textId="0CD12F15" w:rsidR="00A42695" w:rsidRPr="00EF28E0" w:rsidRDefault="00A42695" w:rsidP="00A42695">
            <w:pPr>
              <w:jc w:val="center"/>
              <w:rPr>
                <w:sz w:val="20"/>
                <w:szCs w:val="20"/>
              </w:rPr>
            </w:pPr>
            <w:r>
              <w:rPr>
                <w:sz w:val="20"/>
                <w:szCs w:val="20"/>
              </w:rPr>
              <w:t>(</w:t>
            </w:r>
            <w:r w:rsidR="001A5971">
              <w:rPr>
                <w:sz w:val="20"/>
                <w:szCs w:val="20"/>
              </w:rPr>
              <w:t>September 20</w:t>
            </w:r>
            <w:r>
              <w:rPr>
                <w:sz w:val="20"/>
                <w:szCs w:val="20"/>
              </w:rPr>
              <w:t>)</w:t>
            </w:r>
          </w:p>
        </w:tc>
        <w:tc>
          <w:tcPr>
            <w:tcW w:w="5386" w:type="dxa"/>
            <w:tcBorders>
              <w:top w:val="single" w:sz="4" w:space="0" w:color="auto"/>
              <w:bottom w:val="single" w:sz="4" w:space="0" w:color="auto"/>
            </w:tcBorders>
          </w:tcPr>
          <w:p w14:paraId="38F97208" w14:textId="4C70FE97" w:rsidR="00A42695" w:rsidRPr="00472128" w:rsidRDefault="00A42695" w:rsidP="00A42695">
            <w:pPr>
              <w:pStyle w:val="BodyText"/>
              <w:spacing w:before="120" w:after="0"/>
              <w:rPr>
                <w:b/>
                <w:sz w:val="20"/>
                <w:szCs w:val="20"/>
              </w:rPr>
            </w:pPr>
            <w:r w:rsidRPr="00472128">
              <w:rPr>
                <w:b/>
                <w:sz w:val="20"/>
                <w:szCs w:val="20"/>
              </w:rPr>
              <w:t xml:space="preserve">Treatment Option </w:t>
            </w:r>
            <w:r w:rsidR="00A95825" w:rsidRPr="00472128">
              <w:rPr>
                <w:b/>
                <w:sz w:val="20"/>
                <w:szCs w:val="20"/>
              </w:rPr>
              <w:t>202</w:t>
            </w:r>
            <w:r w:rsidR="003C53F7">
              <w:rPr>
                <w:b/>
                <w:sz w:val="20"/>
                <w:szCs w:val="20"/>
              </w:rPr>
              <w:t>1</w:t>
            </w:r>
            <w:r w:rsidRPr="00472128">
              <w:rPr>
                <w:b/>
                <w:sz w:val="20"/>
                <w:szCs w:val="20"/>
              </w:rPr>
              <w:t xml:space="preserve">/10/A.  Environmental Scan </w:t>
            </w:r>
            <w:r w:rsidRPr="00472128">
              <w:rPr>
                <w:sz w:val="20"/>
                <w:szCs w:val="20"/>
              </w:rPr>
              <w:t>NZSAR will maintain a clear picture of SAR demand and trends.</w:t>
            </w:r>
            <w:r w:rsidRPr="00472128">
              <w:rPr>
                <w:b/>
                <w:sz w:val="20"/>
                <w:szCs w:val="20"/>
              </w:rPr>
              <w:t xml:space="preserve">  </w:t>
            </w:r>
            <w:r w:rsidRPr="00472128">
              <w:rPr>
                <w:sz w:val="20"/>
                <w:szCs w:val="20"/>
              </w:rPr>
              <w:t xml:space="preserve">Integrate this picture with demographic, population, </w:t>
            </w:r>
            <w:proofErr w:type="gramStart"/>
            <w:r w:rsidRPr="00472128">
              <w:rPr>
                <w:sz w:val="20"/>
                <w:szCs w:val="20"/>
              </w:rPr>
              <w:t>recreation</w:t>
            </w:r>
            <w:proofErr w:type="gramEnd"/>
            <w:r w:rsidRPr="00472128">
              <w:rPr>
                <w:sz w:val="20"/>
                <w:szCs w:val="20"/>
              </w:rPr>
              <w:t xml:space="preserve"> and tourism trend projections prepared by other agencies.</w:t>
            </w:r>
            <w:r w:rsidRPr="00472128">
              <w:rPr>
                <w:b/>
                <w:sz w:val="20"/>
                <w:szCs w:val="20"/>
              </w:rPr>
              <w:t xml:space="preserve">  </w:t>
            </w:r>
            <w:r w:rsidRPr="00472128">
              <w:rPr>
                <w:sz w:val="20"/>
                <w:szCs w:val="20"/>
              </w:rPr>
              <w:t>Information</w:t>
            </w:r>
            <w:r w:rsidRPr="00472128">
              <w:rPr>
                <w:b/>
                <w:sz w:val="20"/>
                <w:szCs w:val="20"/>
              </w:rPr>
              <w:t xml:space="preserve"> </w:t>
            </w:r>
            <w:r w:rsidRPr="00472128">
              <w:rPr>
                <w:sz w:val="20"/>
                <w:szCs w:val="20"/>
              </w:rPr>
              <w:t>will be shared as appropriate.</w:t>
            </w:r>
          </w:p>
        </w:tc>
        <w:tc>
          <w:tcPr>
            <w:tcW w:w="709" w:type="dxa"/>
            <w:tcBorders>
              <w:top w:val="single" w:sz="4" w:space="0" w:color="auto"/>
            </w:tcBorders>
            <w:shd w:val="clear" w:color="auto" w:fill="00B050"/>
            <w:textDirection w:val="btLr"/>
            <w:vAlign w:val="center"/>
          </w:tcPr>
          <w:p w14:paraId="17D06B2D" w14:textId="47FF1386" w:rsidR="00A42695" w:rsidRDefault="00B83C2D" w:rsidP="00A42695">
            <w:pPr>
              <w:pStyle w:val="BodyText"/>
              <w:spacing w:before="120" w:after="0"/>
              <w:ind w:left="113" w:right="113"/>
              <w:jc w:val="center"/>
              <w:rPr>
                <w:rFonts w:eastAsia="Times New Roman"/>
                <w:sz w:val="20"/>
                <w:szCs w:val="20"/>
              </w:rPr>
            </w:pPr>
            <w:r>
              <w:rPr>
                <w:rFonts w:eastAsia="Times New Roman"/>
                <w:sz w:val="20"/>
                <w:szCs w:val="20"/>
              </w:rPr>
              <w:t>2020</w:t>
            </w:r>
          </w:p>
        </w:tc>
        <w:tc>
          <w:tcPr>
            <w:tcW w:w="854" w:type="dxa"/>
            <w:tcBorders>
              <w:top w:val="single" w:sz="4" w:space="0" w:color="auto"/>
            </w:tcBorders>
            <w:shd w:val="clear" w:color="auto" w:fill="00B050"/>
            <w:textDirection w:val="btLr"/>
            <w:vAlign w:val="center"/>
          </w:tcPr>
          <w:p w14:paraId="798BBDFC" w14:textId="461878E4" w:rsidR="00A42695" w:rsidRPr="00EF28E0" w:rsidRDefault="00B83C2D" w:rsidP="00A42695">
            <w:pPr>
              <w:pStyle w:val="BodyText"/>
              <w:spacing w:before="120" w:after="0"/>
              <w:ind w:left="113" w:right="113"/>
              <w:jc w:val="center"/>
              <w:rPr>
                <w:rFonts w:eastAsia="Times New Roman"/>
                <w:sz w:val="20"/>
                <w:szCs w:val="20"/>
              </w:rPr>
            </w:pPr>
            <w:r>
              <w:rPr>
                <w:rFonts w:eastAsia="Times New Roman"/>
                <w:sz w:val="20"/>
                <w:szCs w:val="20"/>
              </w:rPr>
              <w:t>Ongoing</w:t>
            </w:r>
          </w:p>
        </w:tc>
        <w:tc>
          <w:tcPr>
            <w:tcW w:w="3260" w:type="dxa"/>
            <w:tcBorders>
              <w:top w:val="single" w:sz="4" w:space="0" w:color="auto"/>
            </w:tcBorders>
          </w:tcPr>
          <w:p w14:paraId="12E60637" w14:textId="25BABFD8" w:rsidR="00A42695" w:rsidRPr="00EF28E0" w:rsidRDefault="00B83C2D" w:rsidP="00B83C2D">
            <w:pPr>
              <w:pStyle w:val="BodyText"/>
              <w:spacing w:before="120" w:after="0"/>
              <w:rPr>
                <w:rFonts w:eastAsia="Times New Roman"/>
                <w:sz w:val="20"/>
                <w:szCs w:val="20"/>
              </w:rPr>
            </w:pPr>
            <w:r>
              <w:rPr>
                <w:rFonts w:eastAsia="Times New Roman"/>
                <w:sz w:val="20"/>
                <w:szCs w:val="20"/>
              </w:rPr>
              <w:t>Environmental scan updated in 2020, specifically for volunteer</w:t>
            </w:r>
            <w:r w:rsidR="001A5971">
              <w:rPr>
                <w:rFonts w:eastAsia="Times New Roman"/>
                <w:sz w:val="20"/>
                <w:szCs w:val="20"/>
              </w:rPr>
              <w:t xml:space="preserve">, </w:t>
            </w:r>
            <w:r>
              <w:rPr>
                <w:rFonts w:eastAsia="Times New Roman"/>
                <w:sz w:val="20"/>
                <w:szCs w:val="20"/>
              </w:rPr>
              <w:t>climate change</w:t>
            </w:r>
            <w:r w:rsidR="001A5971">
              <w:rPr>
                <w:rFonts w:eastAsia="Times New Roman"/>
                <w:sz w:val="20"/>
                <w:szCs w:val="20"/>
              </w:rPr>
              <w:t xml:space="preserve"> and Covid</w:t>
            </w:r>
            <w:r>
              <w:rPr>
                <w:rFonts w:eastAsia="Times New Roman"/>
                <w:sz w:val="20"/>
                <w:szCs w:val="20"/>
              </w:rPr>
              <w:t xml:space="preserve">.  Further updates required for </w:t>
            </w:r>
            <w:r w:rsidR="001A5971">
              <w:rPr>
                <w:rFonts w:eastAsia="Times New Roman"/>
                <w:sz w:val="20"/>
                <w:szCs w:val="20"/>
              </w:rPr>
              <w:t>Antarctic and</w:t>
            </w:r>
            <w:r>
              <w:rPr>
                <w:rFonts w:eastAsia="Times New Roman"/>
                <w:sz w:val="20"/>
                <w:szCs w:val="20"/>
              </w:rPr>
              <w:t xml:space="preserve"> Wander SAR.</w:t>
            </w:r>
            <w:r w:rsidR="001A5971">
              <w:rPr>
                <w:rFonts w:eastAsia="Times New Roman"/>
                <w:sz w:val="20"/>
                <w:szCs w:val="20"/>
              </w:rPr>
              <w:t xml:space="preserve">  Will be made on-line</w:t>
            </w:r>
          </w:p>
        </w:tc>
      </w:tr>
      <w:tr w:rsidR="00955915" w:rsidRPr="00EF28E0" w14:paraId="56B308F7" w14:textId="77777777" w:rsidTr="001538D0">
        <w:trPr>
          <w:cantSplit/>
          <w:trHeight w:val="853"/>
        </w:trPr>
        <w:tc>
          <w:tcPr>
            <w:tcW w:w="990" w:type="dxa"/>
            <w:vMerge/>
          </w:tcPr>
          <w:p w14:paraId="302571A4" w14:textId="77777777" w:rsidR="00A42695" w:rsidRPr="00EF28E0" w:rsidRDefault="00A42695" w:rsidP="00A42695">
            <w:pPr>
              <w:pStyle w:val="BodyText"/>
              <w:spacing w:before="120" w:after="0"/>
              <w:rPr>
                <w:rFonts w:eastAsia="Times New Roman"/>
                <w:sz w:val="20"/>
                <w:szCs w:val="20"/>
              </w:rPr>
            </w:pPr>
          </w:p>
        </w:tc>
        <w:tc>
          <w:tcPr>
            <w:tcW w:w="1700" w:type="dxa"/>
            <w:vMerge/>
          </w:tcPr>
          <w:p w14:paraId="27855B83" w14:textId="77777777" w:rsidR="00A42695" w:rsidRPr="00EF28E0" w:rsidRDefault="00A42695" w:rsidP="00A42695">
            <w:pPr>
              <w:pStyle w:val="BodyText"/>
              <w:spacing w:before="120" w:after="0"/>
              <w:rPr>
                <w:rFonts w:eastAsia="Times New Roman"/>
                <w:b/>
                <w:sz w:val="20"/>
                <w:szCs w:val="20"/>
              </w:rPr>
            </w:pPr>
          </w:p>
        </w:tc>
        <w:tc>
          <w:tcPr>
            <w:tcW w:w="4113" w:type="dxa"/>
            <w:vMerge/>
          </w:tcPr>
          <w:p w14:paraId="421471E4" w14:textId="77777777" w:rsidR="00A42695" w:rsidRPr="00EF28E0" w:rsidRDefault="00A42695" w:rsidP="00A42695">
            <w:pPr>
              <w:pStyle w:val="Default"/>
              <w:rPr>
                <w:color w:val="auto"/>
                <w:sz w:val="20"/>
                <w:szCs w:val="20"/>
              </w:rPr>
            </w:pPr>
          </w:p>
        </w:tc>
        <w:tc>
          <w:tcPr>
            <w:tcW w:w="3545" w:type="dxa"/>
            <w:vMerge/>
          </w:tcPr>
          <w:p w14:paraId="256209FD" w14:textId="77777777" w:rsidR="00A42695" w:rsidRDefault="00A42695" w:rsidP="00A42695">
            <w:pPr>
              <w:pStyle w:val="BodyText"/>
              <w:spacing w:before="120" w:after="0"/>
              <w:rPr>
                <w:rFonts w:eastAsia="Times New Roman"/>
                <w:sz w:val="20"/>
                <w:szCs w:val="20"/>
              </w:rPr>
            </w:pPr>
          </w:p>
        </w:tc>
        <w:tc>
          <w:tcPr>
            <w:tcW w:w="425" w:type="dxa"/>
            <w:vMerge/>
            <w:textDirection w:val="btLr"/>
            <w:vAlign w:val="center"/>
          </w:tcPr>
          <w:p w14:paraId="3D25FC16" w14:textId="77777777" w:rsidR="00A42695" w:rsidRDefault="00A42695" w:rsidP="00A42695">
            <w:pPr>
              <w:jc w:val="center"/>
              <w:rPr>
                <w:rFonts w:eastAsia="Times New Roman"/>
                <w:sz w:val="20"/>
                <w:szCs w:val="20"/>
              </w:rPr>
            </w:pPr>
          </w:p>
        </w:tc>
        <w:tc>
          <w:tcPr>
            <w:tcW w:w="426" w:type="dxa"/>
            <w:vMerge/>
            <w:textDirection w:val="btLr"/>
            <w:vAlign w:val="center"/>
          </w:tcPr>
          <w:p w14:paraId="7544B546" w14:textId="77777777" w:rsidR="00A42695" w:rsidRDefault="00A42695" w:rsidP="00A42695">
            <w:pPr>
              <w:jc w:val="center"/>
              <w:rPr>
                <w:rFonts w:eastAsia="Times New Roman"/>
                <w:sz w:val="20"/>
                <w:szCs w:val="20"/>
              </w:rPr>
            </w:pPr>
          </w:p>
        </w:tc>
        <w:tc>
          <w:tcPr>
            <w:tcW w:w="989" w:type="dxa"/>
            <w:vMerge/>
            <w:shd w:val="clear" w:color="auto" w:fill="FFFF00"/>
            <w:textDirection w:val="btLr"/>
            <w:vAlign w:val="center"/>
          </w:tcPr>
          <w:p w14:paraId="67EB441A" w14:textId="77777777" w:rsidR="00A42695" w:rsidRDefault="00A42695" w:rsidP="00A42695">
            <w:pPr>
              <w:jc w:val="center"/>
              <w:rPr>
                <w:sz w:val="20"/>
                <w:szCs w:val="20"/>
              </w:rPr>
            </w:pPr>
          </w:p>
        </w:tc>
        <w:tc>
          <w:tcPr>
            <w:tcW w:w="5386" w:type="dxa"/>
            <w:tcBorders>
              <w:top w:val="single" w:sz="4" w:space="0" w:color="auto"/>
              <w:bottom w:val="single" w:sz="4" w:space="0" w:color="auto"/>
            </w:tcBorders>
          </w:tcPr>
          <w:p w14:paraId="47A07515" w14:textId="2D08427A" w:rsidR="00A42695" w:rsidRPr="00472128" w:rsidRDefault="00A42695" w:rsidP="00A42695">
            <w:pPr>
              <w:pStyle w:val="BodyText"/>
              <w:spacing w:before="120" w:after="0"/>
              <w:rPr>
                <w:sz w:val="20"/>
                <w:szCs w:val="20"/>
              </w:rPr>
            </w:pPr>
            <w:r w:rsidRPr="00472128">
              <w:rPr>
                <w:b/>
                <w:sz w:val="20"/>
                <w:szCs w:val="20"/>
              </w:rPr>
              <w:t xml:space="preserve">Treatment Option </w:t>
            </w:r>
            <w:r w:rsidR="00A95825" w:rsidRPr="00472128">
              <w:rPr>
                <w:b/>
                <w:sz w:val="20"/>
                <w:szCs w:val="20"/>
              </w:rPr>
              <w:t>202</w:t>
            </w:r>
            <w:r w:rsidR="003C53F7">
              <w:rPr>
                <w:b/>
                <w:sz w:val="20"/>
                <w:szCs w:val="20"/>
              </w:rPr>
              <w:t>1</w:t>
            </w:r>
            <w:r w:rsidRPr="00472128">
              <w:rPr>
                <w:b/>
                <w:sz w:val="20"/>
                <w:szCs w:val="20"/>
              </w:rPr>
              <w:t>/10/B</w:t>
            </w:r>
            <w:r w:rsidRPr="00472128">
              <w:rPr>
                <w:sz w:val="20"/>
                <w:szCs w:val="20"/>
              </w:rPr>
              <w:t xml:space="preserve">.  The sector will work collectively to recognise and then adapt to </w:t>
            </w:r>
            <w:r w:rsidR="00B83C2D" w:rsidRPr="00472128">
              <w:rPr>
                <w:sz w:val="20"/>
                <w:szCs w:val="20"/>
              </w:rPr>
              <w:t xml:space="preserve">accepted </w:t>
            </w:r>
            <w:r w:rsidRPr="00472128">
              <w:rPr>
                <w:sz w:val="20"/>
                <w:szCs w:val="20"/>
              </w:rPr>
              <w:t>observed or likely changes</w:t>
            </w:r>
            <w:r w:rsidR="001A5971" w:rsidRPr="00472128">
              <w:rPr>
                <w:sz w:val="20"/>
                <w:szCs w:val="20"/>
              </w:rPr>
              <w:t xml:space="preserve"> and rapidly to sudden or unforeseen changes</w:t>
            </w:r>
            <w:r w:rsidR="00CA69B8" w:rsidRPr="00472128">
              <w:rPr>
                <w:sz w:val="20"/>
                <w:szCs w:val="20"/>
              </w:rPr>
              <w:t>.</w:t>
            </w:r>
          </w:p>
        </w:tc>
        <w:tc>
          <w:tcPr>
            <w:tcW w:w="709" w:type="dxa"/>
            <w:shd w:val="clear" w:color="auto" w:fill="FFFF00"/>
            <w:textDirection w:val="btLr"/>
            <w:vAlign w:val="center"/>
          </w:tcPr>
          <w:p w14:paraId="3CBF0824" w14:textId="6F164A26" w:rsidR="00A42695" w:rsidRDefault="00A42695" w:rsidP="00A42695">
            <w:pPr>
              <w:pStyle w:val="BodyText"/>
              <w:spacing w:before="120" w:after="0"/>
              <w:jc w:val="center"/>
              <w:rPr>
                <w:rFonts w:eastAsia="Times New Roman"/>
                <w:sz w:val="20"/>
                <w:szCs w:val="20"/>
              </w:rPr>
            </w:pPr>
            <w:r>
              <w:rPr>
                <w:rFonts w:eastAsia="Times New Roman"/>
                <w:sz w:val="20"/>
                <w:szCs w:val="20"/>
              </w:rPr>
              <w:t>Partial</w:t>
            </w:r>
          </w:p>
        </w:tc>
        <w:tc>
          <w:tcPr>
            <w:tcW w:w="854" w:type="dxa"/>
            <w:shd w:val="clear" w:color="auto" w:fill="FFFF00"/>
            <w:textDirection w:val="btLr"/>
            <w:vAlign w:val="center"/>
          </w:tcPr>
          <w:p w14:paraId="71B88616" w14:textId="220EF499" w:rsidR="00A42695" w:rsidRPr="00EF28E0" w:rsidRDefault="00A42695" w:rsidP="001A5971">
            <w:pPr>
              <w:pStyle w:val="BodyText"/>
              <w:spacing w:before="120" w:after="0"/>
              <w:jc w:val="center"/>
              <w:rPr>
                <w:rFonts w:eastAsia="Times New Roman"/>
                <w:sz w:val="20"/>
                <w:szCs w:val="20"/>
              </w:rPr>
            </w:pPr>
          </w:p>
        </w:tc>
        <w:tc>
          <w:tcPr>
            <w:tcW w:w="3260" w:type="dxa"/>
          </w:tcPr>
          <w:p w14:paraId="4EFCE391" w14:textId="14AB459F" w:rsidR="00A42695" w:rsidRPr="00472128" w:rsidRDefault="00A42695" w:rsidP="00A42695">
            <w:pPr>
              <w:pStyle w:val="BodyText"/>
              <w:spacing w:before="120" w:after="0"/>
              <w:rPr>
                <w:rFonts w:eastAsia="Times New Roman"/>
                <w:sz w:val="20"/>
                <w:szCs w:val="20"/>
              </w:rPr>
            </w:pPr>
            <w:r w:rsidRPr="00472128">
              <w:rPr>
                <w:rFonts w:eastAsia="Times New Roman"/>
                <w:sz w:val="20"/>
                <w:szCs w:val="20"/>
              </w:rPr>
              <w:t xml:space="preserve">Sector </w:t>
            </w:r>
            <w:r w:rsidR="00D60822" w:rsidRPr="00472128">
              <w:rPr>
                <w:rFonts w:eastAsia="Times New Roman"/>
                <w:sz w:val="20"/>
                <w:szCs w:val="20"/>
              </w:rPr>
              <w:t>h</w:t>
            </w:r>
            <w:r w:rsidRPr="00472128">
              <w:rPr>
                <w:rFonts w:eastAsia="Times New Roman"/>
                <w:sz w:val="20"/>
                <w:szCs w:val="20"/>
              </w:rPr>
              <w:t xml:space="preserve">as </w:t>
            </w:r>
            <w:r w:rsidR="001A5971" w:rsidRPr="00472128">
              <w:rPr>
                <w:rFonts w:eastAsia="Times New Roman"/>
                <w:sz w:val="20"/>
                <w:szCs w:val="20"/>
              </w:rPr>
              <w:t>little</w:t>
            </w:r>
            <w:r w:rsidRPr="00472128">
              <w:rPr>
                <w:rFonts w:eastAsia="Times New Roman"/>
                <w:sz w:val="20"/>
                <w:szCs w:val="20"/>
              </w:rPr>
              <w:t xml:space="preserve"> spare capacity to address identified change needs</w:t>
            </w:r>
            <w:r w:rsidR="00B83C2D" w:rsidRPr="00472128">
              <w:rPr>
                <w:rFonts w:eastAsia="Times New Roman"/>
                <w:sz w:val="20"/>
                <w:szCs w:val="20"/>
              </w:rPr>
              <w:t>.</w:t>
            </w:r>
            <w:r w:rsidR="001A5971" w:rsidRPr="00472128">
              <w:rPr>
                <w:rFonts w:eastAsia="Times New Roman"/>
                <w:sz w:val="20"/>
                <w:szCs w:val="20"/>
              </w:rPr>
              <w:t xml:space="preserve">  Covid-19 crisis showcased rapid, collective adaptation </w:t>
            </w:r>
          </w:p>
        </w:tc>
      </w:tr>
      <w:tr w:rsidR="001A5971" w:rsidRPr="00EF28E0" w14:paraId="6B715D0B" w14:textId="77777777" w:rsidTr="001538D0">
        <w:trPr>
          <w:cantSplit/>
          <w:trHeight w:val="848"/>
        </w:trPr>
        <w:tc>
          <w:tcPr>
            <w:tcW w:w="990" w:type="dxa"/>
            <w:vMerge/>
          </w:tcPr>
          <w:p w14:paraId="2D6BDD06" w14:textId="77777777" w:rsidR="001A5971" w:rsidRPr="00EF28E0" w:rsidRDefault="001A5971" w:rsidP="00A42695">
            <w:pPr>
              <w:pStyle w:val="BodyText"/>
              <w:spacing w:before="120" w:after="0"/>
              <w:rPr>
                <w:rFonts w:eastAsia="Times New Roman"/>
                <w:sz w:val="20"/>
                <w:szCs w:val="20"/>
              </w:rPr>
            </w:pPr>
          </w:p>
        </w:tc>
        <w:tc>
          <w:tcPr>
            <w:tcW w:w="1700" w:type="dxa"/>
            <w:vMerge/>
          </w:tcPr>
          <w:p w14:paraId="1E0AFB3C" w14:textId="77777777" w:rsidR="001A5971" w:rsidRPr="00EF28E0" w:rsidRDefault="001A5971" w:rsidP="00A42695">
            <w:pPr>
              <w:pStyle w:val="BodyText"/>
              <w:spacing w:before="120" w:after="0"/>
              <w:rPr>
                <w:rFonts w:eastAsia="Times New Roman"/>
                <w:b/>
                <w:sz w:val="20"/>
                <w:szCs w:val="20"/>
              </w:rPr>
            </w:pPr>
          </w:p>
        </w:tc>
        <w:tc>
          <w:tcPr>
            <w:tcW w:w="4113" w:type="dxa"/>
            <w:vMerge/>
          </w:tcPr>
          <w:p w14:paraId="2654EE49" w14:textId="77777777" w:rsidR="001A5971" w:rsidRPr="00EF28E0" w:rsidRDefault="001A5971" w:rsidP="00A42695">
            <w:pPr>
              <w:pStyle w:val="Default"/>
              <w:rPr>
                <w:color w:val="auto"/>
                <w:sz w:val="20"/>
                <w:szCs w:val="20"/>
              </w:rPr>
            </w:pPr>
          </w:p>
        </w:tc>
        <w:tc>
          <w:tcPr>
            <w:tcW w:w="3545" w:type="dxa"/>
            <w:vMerge/>
          </w:tcPr>
          <w:p w14:paraId="234636EB" w14:textId="77777777" w:rsidR="001A5971" w:rsidRDefault="001A5971" w:rsidP="00A42695">
            <w:pPr>
              <w:pStyle w:val="BodyText"/>
              <w:spacing w:before="120" w:after="0"/>
              <w:rPr>
                <w:rFonts w:eastAsia="Times New Roman"/>
                <w:sz w:val="20"/>
                <w:szCs w:val="20"/>
              </w:rPr>
            </w:pPr>
          </w:p>
        </w:tc>
        <w:tc>
          <w:tcPr>
            <w:tcW w:w="425" w:type="dxa"/>
            <w:vMerge/>
            <w:textDirection w:val="btLr"/>
            <w:vAlign w:val="center"/>
          </w:tcPr>
          <w:p w14:paraId="57B5AB63" w14:textId="77777777" w:rsidR="001A5971" w:rsidRDefault="001A5971" w:rsidP="00A42695">
            <w:pPr>
              <w:jc w:val="center"/>
              <w:rPr>
                <w:rFonts w:eastAsia="Times New Roman"/>
                <w:sz w:val="20"/>
                <w:szCs w:val="20"/>
              </w:rPr>
            </w:pPr>
          </w:p>
        </w:tc>
        <w:tc>
          <w:tcPr>
            <w:tcW w:w="426" w:type="dxa"/>
            <w:vMerge/>
            <w:textDirection w:val="btLr"/>
            <w:vAlign w:val="center"/>
          </w:tcPr>
          <w:p w14:paraId="6F7CE2E2" w14:textId="77777777" w:rsidR="001A5971" w:rsidRDefault="001A5971" w:rsidP="00A42695">
            <w:pPr>
              <w:jc w:val="center"/>
              <w:rPr>
                <w:rFonts w:eastAsia="Times New Roman"/>
                <w:sz w:val="20"/>
                <w:szCs w:val="20"/>
              </w:rPr>
            </w:pPr>
          </w:p>
        </w:tc>
        <w:tc>
          <w:tcPr>
            <w:tcW w:w="989" w:type="dxa"/>
            <w:vMerge/>
            <w:shd w:val="clear" w:color="auto" w:fill="FFFF00"/>
            <w:textDirection w:val="btLr"/>
            <w:vAlign w:val="center"/>
          </w:tcPr>
          <w:p w14:paraId="2518E3DA" w14:textId="77777777" w:rsidR="001A5971" w:rsidRDefault="001A5971" w:rsidP="00A42695">
            <w:pPr>
              <w:jc w:val="center"/>
              <w:rPr>
                <w:sz w:val="20"/>
                <w:szCs w:val="20"/>
              </w:rPr>
            </w:pPr>
          </w:p>
        </w:tc>
        <w:tc>
          <w:tcPr>
            <w:tcW w:w="5386" w:type="dxa"/>
            <w:tcBorders>
              <w:top w:val="single" w:sz="4" w:space="0" w:color="auto"/>
              <w:bottom w:val="single" w:sz="4" w:space="0" w:color="auto"/>
            </w:tcBorders>
          </w:tcPr>
          <w:p w14:paraId="46E9DD77" w14:textId="43570897" w:rsidR="001A5971" w:rsidRPr="00472128" w:rsidRDefault="001A5971" w:rsidP="00A42695">
            <w:pPr>
              <w:pStyle w:val="BodyText"/>
              <w:spacing w:before="120" w:after="0"/>
              <w:rPr>
                <w:sz w:val="20"/>
                <w:szCs w:val="20"/>
              </w:rPr>
            </w:pPr>
            <w:r w:rsidRPr="00472128">
              <w:rPr>
                <w:b/>
                <w:sz w:val="20"/>
                <w:szCs w:val="20"/>
              </w:rPr>
              <w:t>Treatment Option 202</w:t>
            </w:r>
            <w:r w:rsidR="003C53F7">
              <w:rPr>
                <w:b/>
                <w:sz w:val="20"/>
                <w:szCs w:val="20"/>
              </w:rPr>
              <w:t>1</w:t>
            </w:r>
            <w:r w:rsidRPr="00472128">
              <w:rPr>
                <w:b/>
                <w:sz w:val="20"/>
                <w:szCs w:val="20"/>
              </w:rPr>
              <w:t xml:space="preserve">/10/C.  </w:t>
            </w:r>
            <w:r w:rsidRPr="00472128">
              <w:rPr>
                <w:sz w:val="20"/>
                <w:szCs w:val="20"/>
              </w:rPr>
              <w:t>Develop ‘demand change’ projects to identify, explore and make change recommendations for SAR organisations.</w:t>
            </w:r>
          </w:p>
        </w:tc>
        <w:tc>
          <w:tcPr>
            <w:tcW w:w="709" w:type="dxa"/>
            <w:shd w:val="clear" w:color="auto" w:fill="FFFF00"/>
            <w:textDirection w:val="btLr"/>
            <w:vAlign w:val="center"/>
          </w:tcPr>
          <w:p w14:paraId="58573DA3" w14:textId="136CA15A" w:rsidR="001A5971" w:rsidRDefault="001A5971" w:rsidP="00A42695">
            <w:pPr>
              <w:pStyle w:val="BodyText"/>
              <w:spacing w:before="120" w:after="0"/>
              <w:ind w:left="113" w:right="113"/>
              <w:jc w:val="center"/>
              <w:rPr>
                <w:rFonts w:eastAsia="Times New Roman"/>
                <w:sz w:val="20"/>
                <w:szCs w:val="20"/>
              </w:rPr>
            </w:pPr>
            <w:r>
              <w:rPr>
                <w:rFonts w:eastAsia="Times New Roman"/>
                <w:sz w:val="20"/>
                <w:szCs w:val="20"/>
              </w:rPr>
              <w:t>Partial</w:t>
            </w:r>
          </w:p>
        </w:tc>
        <w:tc>
          <w:tcPr>
            <w:tcW w:w="854" w:type="dxa"/>
            <w:shd w:val="clear" w:color="auto" w:fill="FFFF00"/>
            <w:textDirection w:val="btLr"/>
            <w:vAlign w:val="center"/>
          </w:tcPr>
          <w:p w14:paraId="14E1EBB6" w14:textId="4976AD05" w:rsidR="001A5971" w:rsidRDefault="001A5971" w:rsidP="00A42695">
            <w:pPr>
              <w:pStyle w:val="BodyText"/>
              <w:spacing w:before="120" w:after="0"/>
              <w:ind w:left="113" w:right="113"/>
              <w:jc w:val="center"/>
              <w:rPr>
                <w:rFonts w:eastAsia="Times New Roman"/>
                <w:sz w:val="20"/>
                <w:szCs w:val="20"/>
              </w:rPr>
            </w:pPr>
            <w:r>
              <w:rPr>
                <w:rFonts w:eastAsia="Times New Roman"/>
                <w:sz w:val="20"/>
                <w:szCs w:val="20"/>
              </w:rPr>
              <w:t>2020 / 23</w:t>
            </w:r>
          </w:p>
        </w:tc>
        <w:tc>
          <w:tcPr>
            <w:tcW w:w="3260" w:type="dxa"/>
          </w:tcPr>
          <w:p w14:paraId="3A1C518D" w14:textId="55232CA3" w:rsidR="001A5971" w:rsidRPr="00472128" w:rsidRDefault="001A5971" w:rsidP="00A42695">
            <w:pPr>
              <w:pStyle w:val="BodyText"/>
              <w:spacing w:before="120" w:after="0"/>
              <w:rPr>
                <w:rFonts w:eastAsia="Times New Roman"/>
                <w:sz w:val="20"/>
                <w:szCs w:val="20"/>
              </w:rPr>
            </w:pPr>
            <w:r w:rsidRPr="00472128">
              <w:rPr>
                <w:rFonts w:eastAsia="Times New Roman"/>
                <w:sz w:val="20"/>
                <w:szCs w:val="20"/>
              </w:rPr>
              <w:t>Coastal Safety and wander / safer walking completed.   LSAR undertakes occasional SAR vulnerability analysis by group</w:t>
            </w:r>
          </w:p>
        </w:tc>
      </w:tr>
      <w:tr w:rsidR="00472128" w:rsidRPr="00EF28E0" w14:paraId="70C80864" w14:textId="77777777" w:rsidTr="001538D0">
        <w:trPr>
          <w:cantSplit/>
          <w:trHeight w:val="2184"/>
        </w:trPr>
        <w:tc>
          <w:tcPr>
            <w:tcW w:w="990" w:type="dxa"/>
            <w:vMerge/>
          </w:tcPr>
          <w:p w14:paraId="770B727E" w14:textId="77777777" w:rsidR="00472128" w:rsidRPr="00EF28E0" w:rsidRDefault="00472128" w:rsidP="00A42695">
            <w:pPr>
              <w:pStyle w:val="BodyText"/>
              <w:spacing w:before="120" w:after="0"/>
              <w:rPr>
                <w:rFonts w:eastAsia="Times New Roman"/>
                <w:sz w:val="20"/>
                <w:szCs w:val="20"/>
              </w:rPr>
            </w:pPr>
          </w:p>
        </w:tc>
        <w:tc>
          <w:tcPr>
            <w:tcW w:w="1700" w:type="dxa"/>
            <w:vMerge/>
          </w:tcPr>
          <w:p w14:paraId="0D344396" w14:textId="77777777" w:rsidR="00472128" w:rsidRPr="00EF28E0" w:rsidRDefault="00472128" w:rsidP="00A42695">
            <w:pPr>
              <w:pStyle w:val="BodyText"/>
              <w:spacing w:before="120" w:after="0"/>
              <w:rPr>
                <w:rFonts w:eastAsia="Times New Roman"/>
                <w:b/>
                <w:sz w:val="20"/>
                <w:szCs w:val="20"/>
              </w:rPr>
            </w:pPr>
          </w:p>
        </w:tc>
        <w:tc>
          <w:tcPr>
            <w:tcW w:w="4113" w:type="dxa"/>
            <w:vMerge/>
          </w:tcPr>
          <w:p w14:paraId="2911960E" w14:textId="77777777" w:rsidR="00472128" w:rsidRPr="00EF28E0" w:rsidRDefault="00472128" w:rsidP="00A42695">
            <w:pPr>
              <w:pStyle w:val="Default"/>
              <w:rPr>
                <w:color w:val="auto"/>
                <w:sz w:val="20"/>
                <w:szCs w:val="20"/>
              </w:rPr>
            </w:pPr>
          </w:p>
        </w:tc>
        <w:tc>
          <w:tcPr>
            <w:tcW w:w="3545" w:type="dxa"/>
            <w:vMerge/>
          </w:tcPr>
          <w:p w14:paraId="22B65248" w14:textId="77777777" w:rsidR="00472128" w:rsidRDefault="00472128" w:rsidP="00A42695">
            <w:pPr>
              <w:pStyle w:val="BodyText"/>
              <w:spacing w:before="120" w:after="0"/>
              <w:rPr>
                <w:rFonts w:eastAsia="Times New Roman"/>
                <w:sz w:val="20"/>
                <w:szCs w:val="20"/>
              </w:rPr>
            </w:pPr>
          </w:p>
        </w:tc>
        <w:tc>
          <w:tcPr>
            <w:tcW w:w="425" w:type="dxa"/>
            <w:vMerge/>
            <w:textDirection w:val="btLr"/>
            <w:vAlign w:val="center"/>
          </w:tcPr>
          <w:p w14:paraId="477F5AAA" w14:textId="77777777" w:rsidR="00472128" w:rsidRDefault="00472128" w:rsidP="00A42695">
            <w:pPr>
              <w:jc w:val="center"/>
              <w:rPr>
                <w:rFonts w:eastAsia="Times New Roman"/>
                <w:sz w:val="20"/>
                <w:szCs w:val="20"/>
              </w:rPr>
            </w:pPr>
          </w:p>
        </w:tc>
        <w:tc>
          <w:tcPr>
            <w:tcW w:w="426" w:type="dxa"/>
            <w:vMerge/>
            <w:textDirection w:val="btLr"/>
            <w:vAlign w:val="center"/>
          </w:tcPr>
          <w:p w14:paraId="7BC602AC" w14:textId="77777777" w:rsidR="00472128" w:rsidRDefault="00472128" w:rsidP="00A42695">
            <w:pPr>
              <w:jc w:val="center"/>
              <w:rPr>
                <w:rFonts w:eastAsia="Times New Roman"/>
                <w:sz w:val="20"/>
                <w:szCs w:val="20"/>
              </w:rPr>
            </w:pPr>
          </w:p>
        </w:tc>
        <w:tc>
          <w:tcPr>
            <w:tcW w:w="989" w:type="dxa"/>
            <w:vMerge/>
            <w:shd w:val="clear" w:color="auto" w:fill="FFFF00"/>
            <w:textDirection w:val="btLr"/>
            <w:vAlign w:val="center"/>
          </w:tcPr>
          <w:p w14:paraId="7661754B" w14:textId="77777777" w:rsidR="00472128" w:rsidRDefault="00472128" w:rsidP="00A42695">
            <w:pPr>
              <w:jc w:val="center"/>
              <w:rPr>
                <w:sz w:val="20"/>
                <w:szCs w:val="20"/>
              </w:rPr>
            </w:pPr>
          </w:p>
        </w:tc>
        <w:tc>
          <w:tcPr>
            <w:tcW w:w="5386" w:type="dxa"/>
            <w:tcBorders>
              <w:top w:val="single" w:sz="4" w:space="0" w:color="auto"/>
            </w:tcBorders>
          </w:tcPr>
          <w:p w14:paraId="13DDC558" w14:textId="50EBB4C9" w:rsidR="00472128" w:rsidRPr="00472128" w:rsidRDefault="00472128" w:rsidP="00A42695">
            <w:pPr>
              <w:pStyle w:val="BodyText"/>
              <w:spacing w:before="120" w:after="0"/>
              <w:rPr>
                <w:b/>
                <w:strike/>
                <w:sz w:val="20"/>
                <w:szCs w:val="20"/>
              </w:rPr>
            </w:pPr>
            <w:r w:rsidRPr="00472128">
              <w:rPr>
                <w:b/>
                <w:sz w:val="20"/>
                <w:szCs w:val="20"/>
              </w:rPr>
              <w:t>Treatment Option 202</w:t>
            </w:r>
            <w:r w:rsidR="003C53F7">
              <w:rPr>
                <w:b/>
                <w:sz w:val="20"/>
                <w:szCs w:val="20"/>
              </w:rPr>
              <w:t>1</w:t>
            </w:r>
            <w:r w:rsidRPr="00472128">
              <w:rPr>
                <w:b/>
                <w:sz w:val="20"/>
                <w:szCs w:val="20"/>
              </w:rPr>
              <w:t>/10/</w:t>
            </w:r>
            <w:r>
              <w:rPr>
                <w:b/>
                <w:sz w:val="20"/>
                <w:szCs w:val="20"/>
              </w:rPr>
              <w:t>D</w:t>
            </w:r>
            <w:r w:rsidRPr="00472128">
              <w:rPr>
                <w:b/>
                <w:sz w:val="20"/>
                <w:szCs w:val="20"/>
              </w:rPr>
              <w:t xml:space="preserve">.  </w:t>
            </w:r>
            <w:r w:rsidRPr="00472128">
              <w:rPr>
                <w:bCs/>
                <w:sz w:val="20"/>
                <w:szCs w:val="20"/>
              </w:rPr>
              <w:t xml:space="preserve">NZSAR to work with agencies to monitor changes / expansion to operational functions. </w:t>
            </w:r>
            <w:r w:rsidRPr="00472128">
              <w:rPr>
                <w:b/>
                <w:sz w:val="20"/>
                <w:szCs w:val="20"/>
              </w:rPr>
              <w:t xml:space="preserve"> </w:t>
            </w:r>
          </w:p>
        </w:tc>
        <w:tc>
          <w:tcPr>
            <w:tcW w:w="709" w:type="dxa"/>
            <w:shd w:val="clear" w:color="auto" w:fill="FFFF00"/>
            <w:textDirection w:val="btLr"/>
            <w:vAlign w:val="center"/>
          </w:tcPr>
          <w:p w14:paraId="4A5A9BD9" w14:textId="56D0313C" w:rsidR="00472128" w:rsidRDefault="00472128" w:rsidP="00A42695">
            <w:pPr>
              <w:pStyle w:val="BodyText"/>
              <w:spacing w:before="120" w:after="0"/>
              <w:ind w:left="113" w:right="113"/>
              <w:jc w:val="center"/>
              <w:rPr>
                <w:rFonts w:eastAsia="Times New Roman"/>
                <w:sz w:val="20"/>
                <w:szCs w:val="20"/>
              </w:rPr>
            </w:pPr>
            <w:r>
              <w:rPr>
                <w:rFonts w:eastAsia="Times New Roman"/>
                <w:sz w:val="20"/>
                <w:szCs w:val="20"/>
              </w:rPr>
              <w:t>Partial</w:t>
            </w:r>
          </w:p>
        </w:tc>
        <w:tc>
          <w:tcPr>
            <w:tcW w:w="854" w:type="dxa"/>
            <w:shd w:val="clear" w:color="auto" w:fill="00B050"/>
            <w:textDirection w:val="btLr"/>
            <w:vAlign w:val="center"/>
          </w:tcPr>
          <w:p w14:paraId="3DE887A0" w14:textId="33026CD8" w:rsidR="00472128" w:rsidRDefault="004D4376" w:rsidP="00A42695">
            <w:pPr>
              <w:pStyle w:val="BodyText"/>
              <w:spacing w:before="120" w:after="0"/>
              <w:ind w:left="113" w:right="113"/>
              <w:jc w:val="center"/>
              <w:rPr>
                <w:rFonts w:eastAsia="Times New Roman"/>
                <w:sz w:val="20"/>
                <w:szCs w:val="20"/>
              </w:rPr>
            </w:pPr>
            <w:r>
              <w:rPr>
                <w:rFonts w:eastAsia="Times New Roman"/>
                <w:sz w:val="20"/>
                <w:szCs w:val="20"/>
              </w:rPr>
              <w:t>Ongoing</w:t>
            </w:r>
          </w:p>
        </w:tc>
        <w:tc>
          <w:tcPr>
            <w:tcW w:w="3260" w:type="dxa"/>
          </w:tcPr>
          <w:p w14:paraId="1CA7E9FB" w14:textId="2E6F1707" w:rsidR="00472128" w:rsidRPr="00472128" w:rsidRDefault="00472128" w:rsidP="00A42695">
            <w:pPr>
              <w:pStyle w:val="BodyText"/>
              <w:spacing w:before="120" w:after="0"/>
              <w:rPr>
                <w:rFonts w:eastAsia="Times New Roman"/>
                <w:sz w:val="20"/>
                <w:szCs w:val="20"/>
              </w:rPr>
            </w:pPr>
            <w:r w:rsidRPr="00472128">
              <w:rPr>
                <w:rFonts w:eastAsia="Times New Roman"/>
                <w:sz w:val="20"/>
                <w:szCs w:val="20"/>
              </w:rPr>
              <w:t xml:space="preserve">SAR agencies are often </w:t>
            </w:r>
            <w:r>
              <w:rPr>
                <w:rFonts w:eastAsia="Times New Roman"/>
                <w:sz w:val="20"/>
                <w:szCs w:val="20"/>
              </w:rPr>
              <w:t>‘</w:t>
            </w:r>
            <w:r w:rsidRPr="00472128">
              <w:rPr>
                <w:rFonts w:eastAsia="Times New Roman"/>
                <w:sz w:val="20"/>
                <w:szCs w:val="20"/>
              </w:rPr>
              <w:t>on-the-spot</w:t>
            </w:r>
            <w:r>
              <w:rPr>
                <w:rFonts w:eastAsia="Times New Roman"/>
                <w:sz w:val="20"/>
                <w:szCs w:val="20"/>
              </w:rPr>
              <w:t>’</w:t>
            </w:r>
            <w:r w:rsidRPr="00472128">
              <w:rPr>
                <w:rFonts w:eastAsia="Times New Roman"/>
                <w:sz w:val="20"/>
                <w:szCs w:val="20"/>
              </w:rPr>
              <w:t xml:space="preserve"> and can attend a broad set of situations such as road crashes and medical emergencies.  </w:t>
            </w:r>
          </w:p>
        </w:tc>
      </w:tr>
    </w:tbl>
    <w:p w14:paraId="1C50E32F" w14:textId="7087169F" w:rsidR="001538D0" w:rsidRDefault="001538D0" w:rsidP="00CF349A"/>
    <w:p w14:paraId="097BD5F0" w14:textId="77777777" w:rsidR="001538D0" w:rsidRDefault="001538D0">
      <w:r>
        <w:br w:type="page"/>
      </w:r>
    </w:p>
    <w:p w14:paraId="2CA92898" w14:textId="77777777" w:rsidR="0000746E" w:rsidRDefault="0000746E" w:rsidP="00CF349A"/>
    <w:tbl>
      <w:tblPr>
        <w:tblStyle w:val="TableGrid"/>
        <w:tblW w:w="22341" w:type="dxa"/>
        <w:tblInd w:w="-459" w:type="dxa"/>
        <w:tblLayout w:type="fixed"/>
        <w:tblLook w:val="04A0" w:firstRow="1" w:lastRow="0" w:firstColumn="1" w:lastColumn="0" w:noHBand="0" w:noVBand="1"/>
      </w:tblPr>
      <w:tblGrid>
        <w:gridCol w:w="993"/>
        <w:gridCol w:w="1701"/>
        <w:gridCol w:w="4253"/>
        <w:gridCol w:w="3696"/>
        <w:gridCol w:w="397"/>
        <w:gridCol w:w="397"/>
        <w:gridCol w:w="699"/>
        <w:gridCol w:w="5442"/>
        <w:gridCol w:w="709"/>
        <w:gridCol w:w="794"/>
        <w:gridCol w:w="3260"/>
      </w:tblGrid>
      <w:tr w:rsidR="00AE148D" w:rsidRPr="00286A2D" w14:paraId="0BFBC707" w14:textId="77777777" w:rsidTr="004A1C60">
        <w:trPr>
          <w:cantSplit/>
          <w:trHeight w:val="1701"/>
        </w:trPr>
        <w:tc>
          <w:tcPr>
            <w:tcW w:w="993" w:type="dxa"/>
            <w:shd w:val="clear" w:color="auto" w:fill="FBD4B4" w:themeFill="accent6" w:themeFillTint="66"/>
            <w:textDirection w:val="btLr"/>
            <w:vAlign w:val="center"/>
          </w:tcPr>
          <w:p w14:paraId="4E905259" w14:textId="77777777" w:rsidR="00AE148D" w:rsidRPr="00286A2D" w:rsidRDefault="00AE148D" w:rsidP="004A1C60">
            <w:pPr>
              <w:spacing w:line="360" w:lineRule="auto"/>
              <w:ind w:left="113" w:right="113"/>
              <w:jc w:val="center"/>
              <w:rPr>
                <w:b/>
                <w:sz w:val="20"/>
                <w:szCs w:val="20"/>
              </w:rPr>
            </w:pPr>
            <w:r w:rsidRPr="00286A2D">
              <w:rPr>
                <w:b/>
                <w:sz w:val="20"/>
                <w:szCs w:val="20"/>
              </w:rPr>
              <w:t>Risk #</w:t>
            </w:r>
          </w:p>
        </w:tc>
        <w:tc>
          <w:tcPr>
            <w:tcW w:w="1701" w:type="dxa"/>
            <w:shd w:val="clear" w:color="auto" w:fill="FBD4B4" w:themeFill="accent6" w:themeFillTint="66"/>
            <w:vAlign w:val="center"/>
          </w:tcPr>
          <w:p w14:paraId="11B41081" w14:textId="77777777" w:rsidR="00AE148D" w:rsidRPr="002D6CCE" w:rsidRDefault="00AE148D" w:rsidP="004A1C60">
            <w:pPr>
              <w:pStyle w:val="BodyText"/>
              <w:spacing w:before="120" w:after="0"/>
              <w:jc w:val="center"/>
              <w:rPr>
                <w:rFonts w:eastAsia="Times New Roman"/>
                <w:b/>
                <w:sz w:val="20"/>
                <w:szCs w:val="20"/>
              </w:rPr>
            </w:pPr>
            <w:r w:rsidRPr="002D6CCE">
              <w:rPr>
                <w:rFonts w:eastAsia="Times New Roman"/>
                <w:b/>
                <w:sz w:val="20"/>
                <w:szCs w:val="20"/>
              </w:rPr>
              <w:t>Risk Description</w:t>
            </w:r>
          </w:p>
        </w:tc>
        <w:tc>
          <w:tcPr>
            <w:tcW w:w="4253" w:type="dxa"/>
            <w:shd w:val="clear" w:color="auto" w:fill="FBD4B4" w:themeFill="accent6" w:themeFillTint="66"/>
            <w:vAlign w:val="center"/>
          </w:tcPr>
          <w:p w14:paraId="43E9D51E" w14:textId="77777777" w:rsidR="00AE148D" w:rsidRPr="002D6CCE" w:rsidRDefault="00AE148D" w:rsidP="004A1C60">
            <w:pPr>
              <w:pStyle w:val="BodyText"/>
              <w:spacing w:before="120" w:after="0"/>
              <w:jc w:val="center"/>
              <w:rPr>
                <w:rFonts w:eastAsia="Times New Roman"/>
                <w:b/>
                <w:sz w:val="20"/>
                <w:szCs w:val="20"/>
              </w:rPr>
            </w:pPr>
            <w:r w:rsidRPr="002D6CCE">
              <w:rPr>
                <w:rFonts w:eastAsia="Times New Roman"/>
                <w:b/>
                <w:sz w:val="20"/>
                <w:szCs w:val="20"/>
              </w:rPr>
              <w:t>Reasons or Causes</w:t>
            </w:r>
          </w:p>
        </w:tc>
        <w:tc>
          <w:tcPr>
            <w:tcW w:w="3696" w:type="dxa"/>
            <w:shd w:val="clear" w:color="auto" w:fill="FBD4B4" w:themeFill="accent6" w:themeFillTint="66"/>
            <w:vAlign w:val="center"/>
          </w:tcPr>
          <w:p w14:paraId="7CA1B8D6" w14:textId="77777777" w:rsidR="00AE148D" w:rsidRPr="002D6CCE" w:rsidRDefault="00AE148D" w:rsidP="004A1C60">
            <w:pPr>
              <w:pStyle w:val="BodyText"/>
              <w:spacing w:before="120" w:after="0"/>
              <w:jc w:val="center"/>
              <w:rPr>
                <w:rFonts w:eastAsia="Times New Roman"/>
                <w:b/>
                <w:sz w:val="20"/>
                <w:szCs w:val="20"/>
              </w:rPr>
            </w:pPr>
            <w:r w:rsidRPr="002D6CCE">
              <w:rPr>
                <w:rFonts w:eastAsia="Times New Roman"/>
                <w:b/>
                <w:sz w:val="20"/>
                <w:szCs w:val="20"/>
              </w:rPr>
              <w:t>Consequences</w:t>
            </w:r>
          </w:p>
        </w:tc>
        <w:tc>
          <w:tcPr>
            <w:tcW w:w="397" w:type="dxa"/>
            <w:shd w:val="clear" w:color="auto" w:fill="FBD4B4" w:themeFill="accent6" w:themeFillTint="66"/>
            <w:textDirection w:val="btLr"/>
            <w:vAlign w:val="center"/>
          </w:tcPr>
          <w:p w14:paraId="633CDAE2" w14:textId="77777777" w:rsidR="00AE148D" w:rsidRPr="00286A2D" w:rsidRDefault="00AE148D" w:rsidP="004A1C60">
            <w:pPr>
              <w:spacing w:line="360" w:lineRule="auto"/>
              <w:ind w:left="113" w:right="113"/>
              <w:jc w:val="center"/>
              <w:rPr>
                <w:b/>
                <w:sz w:val="20"/>
                <w:szCs w:val="20"/>
              </w:rPr>
            </w:pPr>
            <w:r w:rsidRPr="00286A2D">
              <w:rPr>
                <w:b/>
                <w:sz w:val="20"/>
                <w:szCs w:val="20"/>
              </w:rPr>
              <w:t>Probability</w:t>
            </w:r>
          </w:p>
        </w:tc>
        <w:tc>
          <w:tcPr>
            <w:tcW w:w="397" w:type="dxa"/>
            <w:shd w:val="clear" w:color="auto" w:fill="FBD4B4" w:themeFill="accent6" w:themeFillTint="66"/>
            <w:textDirection w:val="btLr"/>
            <w:vAlign w:val="center"/>
          </w:tcPr>
          <w:p w14:paraId="30A5F4BB" w14:textId="77777777" w:rsidR="00AE148D" w:rsidRPr="00286A2D" w:rsidRDefault="00AE148D" w:rsidP="004A1C60">
            <w:pPr>
              <w:spacing w:line="360" w:lineRule="auto"/>
              <w:ind w:left="113" w:right="113"/>
              <w:jc w:val="center"/>
              <w:rPr>
                <w:b/>
                <w:sz w:val="20"/>
                <w:szCs w:val="20"/>
              </w:rPr>
            </w:pPr>
            <w:r w:rsidRPr="00286A2D">
              <w:rPr>
                <w:b/>
                <w:sz w:val="20"/>
                <w:szCs w:val="20"/>
              </w:rPr>
              <w:t>Impact</w:t>
            </w:r>
          </w:p>
        </w:tc>
        <w:tc>
          <w:tcPr>
            <w:tcW w:w="699" w:type="dxa"/>
            <w:shd w:val="clear" w:color="auto" w:fill="FBD4B4" w:themeFill="accent6" w:themeFillTint="66"/>
            <w:textDirection w:val="btLr"/>
          </w:tcPr>
          <w:p w14:paraId="69AA8199" w14:textId="77777777" w:rsidR="00AE148D" w:rsidRPr="00286A2D" w:rsidRDefault="00AE148D" w:rsidP="004A1C60">
            <w:pPr>
              <w:jc w:val="center"/>
              <w:rPr>
                <w:b/>
                <w:sz w:val="20"/>
                <w:szCs w:val="20"/>
              </w:rPr>
            </w:pPr>
            <w:r>
              <w:rPr>
                <w:b/>
                <w:sz w:val="20"/>
                <w:szCs w:val="20"/>
              </w:rPr>
              <w:t xml:space="preserve">Risk </w:t>
            </w:r>
            <w:r w:rsidRPr="00286A2D">
              <w:rPr>
                <w:b/>
                <w:sz w:val="20"/>
                <w:szCs w:val="20"/>
              </w:rPr>
              <w:t>Level</w:t>
            </w:r>
            <w:r>
              <w:rPr>
                <w:b/>
                <w:sz w:val="20"/>
                <w:szCs w:val="20"/>
              </w:rPr>
              <w:t xml:space="preserve"> (reviewed)</w:t>
            </w:r>
          </w:p>
        </w:tc>
        <w:tc>
          <w:tcPr>
            <w:tcW w:w="5442" w:type="dxa"/>
            <w:shd w:val="clear" w:color="auto" w:fill="FBD4B4" w:themeFill="accent6" w:themeFillTint="66"/>
            <w:vAlign w:val="center"/>
          </w:tcPr>
          <w:p w14:paraId="4D3AB85A" w14:textId="77777777" w:rsidR="00AE148D" w:rsidRPr="00BB5DB0" w:rsidRDefault="00AE148D" w:rsidP="004A1C60">
            <w:pPr>
              <w:pStyle w:val="BodyText"/>
              <w:spacing w:before="120" w:after="0"/>
              <w:jc w:val="center"/>
              <w:rPr>
                <w:b/>
                <w:sz w:val="20"/>
                <w:szCs w:val="20"/>
              </w:rPr>
            </w:pPr>
            <w:r w:rsidRPr="00BB5DB0">
              <w:rPr>
                <w:b/>
                <w:sz w:val="20"/>
                <w:szCs w:val="20"/>
              </w:rPr>
              <w:t>Risk Treatment(s)</w:t>
            </w:r>
          </w:p>
        </w:tc>
        <w:tc>
          <w:tcPr>
            <w:tcW w:w="709" w:type="dxa"/>
            <w:shd w:val="clear" w:color="auto" w:fill="FBD4B4" w:themeFill="accent6" w:themeFillTint="66"/>
            <w:textDirection w:val="btLr"/>
          </w:tcPr>
          <w:p w14:paraId="60BF3281" w14:textId="77777777" w:rsidR="00AE148D" w:rsidRDefault="00AE148D" w:rsidP="004A1C60">
            <w:pPr>
              <w:jc w:val="center"/>
              <w:rPr>
                <w:b/>
                <w:sz w:val="20"/>
                <w:szCs w:val="20"/>
              </w:rPr>
            </w:pPr>
            <w:r>
              <w:rPr>
                <w:b/>
                <w:sz w:val="20"/>
                <w:szCs w:val="20"/>
              </w:rPr>
              <w:t>Treatment Implementation</w:t>
            </w:r>
          </w:p>
        </w:tc>
        <w:tc>
          <w:tcPr>
            <w:tcW w:w="794" w:type="dxa"/>
            <w:shd w:val="clear" w:color="auto" w:fill="FBD4B4" w:themeFill="accent6" w:themeFillTint="66"/>
            <w:textDirection w:val="btLr"/>
          </w:tcPr>
          <w:p w14:paraId="22016897" w14:textId="77777777" w:rsidR="00AE148D" w:rsidRPr="00BB5DB0" w:rsidRDefault="00AE148D" w:rsidP="004A1C60">
            <w:pPr>
              <w:ind w:left="113" w:right="113"/>
              <w:jc w:val="center"/>
              <w:rPr>
                <w:b/>
                <w:sz w:val="20"/>
                <w:szCs w:val="20"/>
              </w:rPr>
            </w:pPr>
            <w:r>
              <w:rPr>
                <w:b/>
                <w:sz w:val="20"/>
                <w:szCs w:val="20"/>
              </w:rPr>
              <w:t xml:space="preserve">Post Treatment Impact </w:t>
            </w:r>
          </w:p>
        </w:tc>
        <w:tc>
          <w:tcPr>
            <w:tcW w:w="3260" w:type="dxa"/>
            <w:shd w:val="clear" w:color="auto" w:fill="FBD4B4" w:themeFill="accent6" w:themeFillTint="66"/>
            <w:vAlign w:val="center"/>
          </w:tcPr>
          <w:p w14:paraId="2B1627A6" w14:textId="77777777" w:rsidR="00AE148D" w:rsidRPr="002D6CCE" w:rsidRDefault="00AE148D" w:rsidP="004A1C60">
            <w:pPr>
              <w:pStyle w:val="BodyText"/>
              <w:spacing w:before="120" w:after="0"/>
              <w:jc w:val="center"/>
              <w:rPr>
                <w:rFonts w:eastAsia="Times New Roman"/>
                <w:b/>
                <w:sz w:val="20"/>
                <w:szCs w:val="20"/>
              </w:rPr>
            </w:pPr>
            <w:r w:rsidRPr="002D6CCE">
              <w:rPr>
                <w:rFonts w:eastAsia="Times New Roman"/>
                <w:b/>
                <w:sz w:val="20"/>
                <w:szCs w:val="20"/>
              </w:rPr>
              <w:t>Comments/Examples</w:t>
            </w:r>
          </w:p>
        </w:tc>
      </w:tr>
      <w:tr w:rsidR="00AE148D" w:rsidRPr="00286A2D" w14:paraId="4ABBBFDA" w14:textId="77777777" w:rsidTr="004A1C60">
        <w:trPr>
          <w:trHeight w:val="1775"/>
        </w:trPr>
        <w:tc>
          <w:tcPr>
            <w:tcW w:w="993" w:type="dxa"/>
            <w:vMerge w:val="restart"/>
            <w:tcBorders>
              <w:bottom w:val="single" w:sz="4" w:space="0" w:color="auto"/>
            </w:tcBorders>
          </w:tcPr>
          <w:p w14:paraId="550F021A" w14:textId="37260C36" w:rsidR="00AE148D" w:rsidRPr="002D6CCE" w:rsidRDefault="00AE148D" w:rsidP="004A1C60">
            <w:pPr>
              <w:pStyle w:val="BodyText"/>
              <w:spacing w:before="120" w:after="0"/>
              <w:rPr>
                <w:rFonts w:eastAsia="Times New Roman"/>
                <w:sz w:val="20"/>
                <w:szCs w:val="20"/>
              </w:rPr>
            </w:pPr>
            <w:r>
              <w:rPr>
                <w:rFonts w:eastAsia="Times New Roman"/>
                <w:sz w:val="20"/>
                <w:szCs w:val="20"/>
              </w:rPr>
              <w:t>202</w:t>
            </w:r>
            <w:r w:rsidR="003C53F7">
              <w:rPr>
                <w:rFonts w:eastAsia="Times New Roman"/>
                <w:sz w:val="20"/>
                <w:szCs w:val="20"/>
              </w:rPr>
              <w:t>1</w:t>
            </w:r>
            <w:r w:rsidRPr="002D6CCE">
              <w:rPr>
                <w:rFonts w:eastAsia="Times New Roman"/>
                <w:sz w:val="20"/>
                <w:szCs w:val="20"/>
              </w:rPr>
              <w:t>/</w:t>
            </w:r>
            <w:r>
              <w:rPr>
                <w:rFonts w:eastAsia="Times New Roman"/>
                <w:sz w:val="20"/>
                <w:szCs w:val="20"/>
              </w:rPr>
              <w:t>11</w:t>
            </w:r>
          </w:p>
        </w:tc>
        <w:tc>
          <w:tcPr>
            <w:tcW w:w="1701" w:type="dxa"/>
            <w:vMerge w:val="restart"/>
            <w:tcBorders>
              <w:bottom w:val="single" w:sz="4" w:space="0" w:color="auto"/>
            </w:tcBorders>
          </w:tcPr>
          <w:p w14:paraId="3BD07FE1" w14:textId="77777777" w:rsidR="00AE148D" w:rsidRPr="00890F7E" w:rsidRDefault="00AE148D" w:rsidP="004A1C60">
            <w:pPr>
              <w:pStyle w:val="BodyText"/>
              <w:spacing w:before="120" w:after="0"/>
              <w:rPr>
                <w:rFonts w:eastAsia="Times New Roman"/>
                <w:b/>
                <w:sz w:val="20"/>
                <w:szCs w:val="20"/>
              </w:rPr>
            </w:pPr>
            <w:r>
              <w:rPr>
                <w:rFonts w:eastAsia="Times New Roman"/>
                <w:b/>
                <w:sz w:val="20"/>
                <w:szCs w:val="20"/>
              </w:rPr>
              <w:t xml:space="preserve">Covid-19 </w:t>
            </w:r>
          </w:p>
          <w:p w14:paraId="48C6ABCF" w14:textId="77777777" w:rsidR="00AE148D" w:rsidRDefault="00AE148D" w:rsidP="004A1C60">
            <w:pPr>
              <w:pStyle w:val="BodyText"/>
              <w:spacing w:before="120" w:after="0"/>
              <w:rPr>
                <w:rFonts w:eastAsia="Times New Roman"/>
                <w:sz w:val="20"/>
                <w:szCs w:val="20"/>
              </w:rPr>
            </w:pPr>
          </w:p>
          <w:p w14:paraId="08BA1293" w14:textId="77777777" w:rsidR="00AE148D" w:rsidRPr="00506656" w:rsidRDefault="00AE148D" w:rsidP="004A1C60">
            <w:pPr>
              <w:pStyle w:val="BodyTextIndentBullet"/>
              <w:numPr>
                <w:ilvl w:val="0"/>
                <w:numId w:val="0"/>
              </w:numPr>
              <w:spacing w:before="120"/>
              <w:rPr>
                <w:szCs w:val="20"/>
              </w:rPr>
            </w:pPr>
            <w:r>
              <w:rPr>
                <w:szCs w:val="20"/>
              </w:rPr>
              <w:t>The existence of Covid-19 and the possibility of resurgence</w:t>
            </w:r>
          </w:p>
          <w:p w14:paraId="656733DE" w14:textId="77777777" w:rsidR="00AE148D" w:rsidRPr="00506656" w:rsidRDefault="00AE148D" w:rsidP="004A1C60">
            <w:pPr>
              <w:pStyle w:val="BodyText"/>
              <w:spacing w:before="120" w:after="0"/>
              <w:rPr>
                <w:rFonts w:eastAsia="Times New Roman"/>
                <w:sz w:val="20"/>
                <w:szCs w:val="20"/>
              </w:rPr>
            </w:pPr>
          </w:p>
          <w:p w14:paraId="433DBAC4" w14:textId="77777777" w:rsidR="00AE148D" w:rsidRDefault="00AE148D" w:rsidP="004A1C60">
            <w:pPr>
              <w:pStyle w:val="BodyText"/>
              <w:spacing w:before="120" w:after="0"/>
              <w:rPr>
                <w:rFonts w:eastAsia="Times New Roman"/>
                <w:sz w:val="20"/>
                <w:szCs w:val="20"/>
              </w:rPr>
            </w:pPr>
          </w:p>
          <w:p w14:paraId="3232D95B" w14:textId="77777777" w:rsidR="00AE148D" w:rsidRPr="000D1DCF" w:rsidRDefault="00AE148D" w:rsidP="004A1C60">
            <w:pPr>
              <w:pStyle w:val="BodyText"/>
              <w:spacing w:before="120" w:after="0"/>
              <w:rPr>
                <w:rFonts w:eastAsia="Times New Roman"/>
                <w:sz w:val="20"/>
                <w:szCs w:val="20"/>
              </w:rPr>
            </w:pPr>
          </w:p>
        </w:tc>
        <w:tc>
          <w:tcPr>
            <w:tcW w:w="4253" w:type="dxa"/>
            <w:vMerge w:val="restart"/>
          </w:tcPr>
          <w:p w14:paraId="63C93DF7" w14:textId="77777777" w:rsidR="00AE148D" w:rsidRDefault="00AE148D" w:rsidP="004A1C60">
            <w:pPr>
              <w:pStyle w:val="BodyTextIndentBullet"/>
              <w:numPr>
                <w:ilvl w:val="0"/>
                <w:numId w:val="0"/>
              </w:numPr>
              <w:spacing w:before="120"/>
              <w:rPr>
                <w:szCs w:val="20"/>
              </w:rPr>
            </w:pPr>
            <w:r>
              <w:rPr>
                <w:szCs w:val="20"/>
              </w:rPr>
              <w:t>Covid-19 resurgence within NZ community(</w:t>
            </w:r>
            <w:proofErr w:type="spellStart"/>
            <w:r>
              <w:rPr>
                <w:szCs w:val="20"/>
              </w:rPr>
              <w:t>ies</w:t>
            </w:r>
            <w:proofErr w:type="spellEnd"/>
            <w:r>
              <w:rPr>
                <w:szCs w:val="20"/>
              </w:rPr>
              <w:t xml:space="preserve">), resulting in Level 3 or Level 4 lockdown, locally, </w:t>
            </w:r>
            <w:proofErr w:type="gramStart"/>
            <w:r>
              <w:rPr>
                <w:szCs w:val="20"/>
              </w:rPr>
              <w:t>regionally</w:t>
            </w:r>
            <w:proofErr w:type="gramEnd"/>
            <w:r>
              <w:rPr>
                <w:szCs w:val="20"/>
              </w:rPr>
              <w:t xml:space="preserve"> or nationally.</w:t>
            </w:r>
          </w:p>
          <w:p w14:paraId="3A5B18A1" w14:textId="77777777" w:rsidR="00AE148D" w:rsidRPr="00506656" w:rsidRDefault="00AE148D" w:rsidP="004A1C60">
            <w:pPr>
              <w:pStyle w:val="BodyTextIndentBullet"/>
              <w:numPr>
                <w:ilvl w:val="0"/>
                <w:numId w:val="0"/>
              </w:numPr>
              <w:spacing w:before="120"/>
              <w:rPr>
                <w:szCs w:val="20"/>
              </w:rPr>
            </w:pPr>
            <w:r>
              <w:rPr>
                <w:szCs w:val="20"/>
              </w:rPr>
              <w:t>Covid-19 outbreak in Pacific island necessary as a SAR base of operations.</w:t>
            </w:r>
          </w:p>
          <w:p w14:paraId="53CCA18B" w14:textId="77777777" w:rsidR="00AE148D" w:rsidRDefault="00AE148D" w:rsidP="004A1C60">
            <w:pPr>
              <w:pStyle w:val="BodyTextIndentBullet"/>
              <w:numPr>
                <w:ilvl w:val="0"/>
                <w:numId w:val="0"/>
              </w:numPr>
              <w:spacing w:before="120"/>
              <w:rPr>
                <w:szCs w:val="20"/>
              </w:rPr>
            </w:pPr>
            <w:r>
              <w:rPr>
                <w:szCs w:val="20"/>
              </w:rPr>
              <w:t>Management of NZ or off-shore rescued persons at risk of carrying / transmitting Covid-19.</w:t>
            </w:r>
          </w:p>
          <w:p w14:paraId="6C5E2F27" w14:textId="77777777" w:rsidR="00AE148D" w:rsidRPr="00506656" w:rsidRDefault="00AE148D" w:rsidP="004A1C60">
            <w:pPr>
              <w:pStyle w:val="BodyTextIndentBullet"/>
              <w:numPr>
                <w:ilvl w:val="0"/>
                <w:numId w:val="0"/>
              </w:numPr>
              <w:spacing w:before="120"/>
              <w:rPr>
                <w:szCs w:val="20"/>
              </w:rPr>
            </w:pPr>
            <w:r>
              <w:rPr>
                <w:szCs w:val="20"/>
              </w:rPr>
              <w:t>SAR people carry / transmit Covid-19</w:t>
            </w:r>
          </w:p>
          <w:p w14:paraId="7443ED51" w14:textId="77777777" w:rsidR="00AE148D" w:rsidRPr="00506656" w:rsidRDefault="00AE148D" w:rsidP="004A1C60">
            <w:pPr>
              <w:pStyle w:val="BodyTextIndentBullet"/>
              <w:numPr>
                <w:ilvl w:val="0"/>
                <w:numId w:val="0"/>
              </w:numPr>
              <w:spacing w:before="120"/>
              <w:rPr>
                <w:szCs w:val="20"/>
              </w:rPr>
            </w:pPr>
            <w:r>
              <w:rPr>
                <w:szCs w:val="20"/>
              </w:rPr>
              <w:t>SAR operational personnel are denied access to an area of operation due to vector risks.</w:t>
            </w:r>
          </w:p>
          <w:p w14:paraId="6CF429E5" w14:textId="77777777" w:rsidR="00AE148D" w:rsidRPr="00506656" w:rsidRDefault="00AE148D" w:rsidP="004A1C60">
            <w:pPr>
              <w:pStyle w:val="BodyTextIndentBullet"/>
              <w:numPr>
                <w:ilvl w:val="0"/>
                <w:numId w:val="0"/>
              </w:numPr>
              <w:spacing w:before="120"/>
              <w:rPr>
                <w:szCs w:val="20"/>
              </w:rPr>
            </w:pPr>
            <w:r>
              <w:rPr>
                <w:szCs w:val="20"/>
              </w:rPr>
              <w:t>Challenges around supply and access to appropriate PPE for operational SAR people</w:t>
            </w:r>
            <w:r w:rsidRPr="00506656">
              <w:rPr>
                <w:szCs w:val="20"/>
              </w:rPr>
              <w:t>.</w:t>
            </w:r>
          </w:p>
          <w:p w14:paraId="6DF81E90" w14:textId="77777777" w:rsidR="00AE148D" w:rsidRPr="00107E10" w:rsidRDefault="00AE148D" w:rsidP="004A1C60">
            <w:pPr>
              <w:pStyle w:val="BodyTextIndentBullet"/>
              <w:numPr>
                <w:ilvl w:val="0"/>
                <w:numId w:val="0"/>
              </w:numPr>
              <w:spacing w:before="120"/>
              <w:rPr>
                <w:szCs w:val="20"/>
              </w:rPr>
            </w:pPr>
            <w:r>
              <w:rPr>
                <w:szCs w:val="20"/>
              </w:rPr>
              <w:t>Reduction or loss of operational response capability.</w:t>
            </w:r>
          </w:p>
          <w:p w14:paraId="62B97B90" w14:textId="2C7425B3" w:rsidR="00AE148D" w:rsidRDefault="00AE148D" w:rsidP="004A1C60">
            <w:pPr>
              <w:pStyle w:val="BodyTextIndentBullet"/>
              <w:numPr>
                <w:ilvl w:val="0"/>
                <w:numId w:val="0"/>
              </w:numPr>
              <w:spacing w:before="120"/>
              <w:rPr>
                <w:szCs w:val="20"/>
              </w:rPr>
            </w:pPr>
            <w:r w:rsidRPr="00107E10">
              <w:rPr>
                <w:szCs w:val="20"/>
              </w:rPr>
              <w:t>Training opportunities for skill acquisition</w:t>
            </w:r>
            <w:r>
              <w:rPr>
                <w:szCs w:val="20"/>
              </w:rPr>
              <w:t>, skill refresher</w:t>
            </w:r>
            <w:r w:rsidRPr="00107E10">
              <w:rPr>
                <w:szCs w:val="20"/>
              </w:rPr>
              <w:t xml:space="preserve"> and collective training are </w:t>
            </w:r>
            <w:r>
              <w:rPr>
                <w:szCs w:val="20"/>
              </w:rPr>
              <w:t>negatively i</w:t>
            </w:r>
            <w:r w:rsidRPr="00107E10">
              <w:rPr>
                <w:szCs w:val="20"/>
              </w:rPr>
              <w:t>mpacted</w:t>
            </w:r>
            <w:r>
              <w:rPr>
                <w:szCs w:val="20"/>
              </w:rPr>
              <w:t>.</w:t>
            </w:r>
          </w:p>
          <w:p w14:paraId="1954B0DB" w14:textId="77777777" w:rsidR="00AE148D" w:rsidRDefault="00AE148D" w:rsidP="004A1C60">
            <w:pPr>
              <w:pStyle w:val="BodyTextIndentBullet"/>
              <w:numPr>
                <w:ilvl w:val="0"/>
                <w:numId w:val="0"/>
              </w:numPr>
              <w:spacing w:before="120"/>
              <w:rPr>
                <w:szCs w:val="20"/>
              </w:rPr>
            </w:pPr>
            <w:r>
              <w:rPr>
                <w:szCs w:val="20"/>
              </w:rPr>
              <w:t>Lack of confidence in Covid reduction measures.</w:t>
            </w:r>
          </w:p>
          <w:p w14:paraId="00C629E5" w14:textId="6E9D695C" w:rsidR="00AE148D" w:rsidRPr="00506656" w:rsidRDefault="00AE148D" w:rsidP="004A1C60">
            <w:pPr>
              <w:pStyle w:val="BodyTextIndentBullet"/>
              <w:numPr>
                <w:ilvl w:val="0"/>
                <w:numId w:val="0"/>
              </w:numPr>
              <w:spacing w:before="120"/>
              <w:rPr>
                <w:szCs w:val="20"/>
              </w:rPr>
            </w:pPr>
            <w:r>
              <w:rPr>
                <w:szCs w:val="20"/>
              </w:rPr>
              <w:t>Potential for the quarantine of SAR people</w:t>
            </w:r>
          </w:p>
        </w:tc>
        <w:tc>
          <w:tcPr>
            <w:tcW w:w="3696" w:type="dxa"/>
            <w:vMerge w:val="restart"/>
            <w:tcBorders>
              <w:bottom w:val="single" w:sz="4" w:space="0" w:color="auto"/>
            </w:tcBorders>
          </w:tcPr>
          <w:p w14:paraId="4D41DCDB" w14:textId="77777777" w:rsidR="00AE148D" w:rsidRDefault="00AE148D" w:rsidP="004A1C60">
            <w:pPr>
              <w:pStyle w:val="BodyTextIndentBullet"/>
              <w:numPr>
                <w:ilvl w:val="0"/>
                <w:numId w:val="0"/>
              </w:numPr>
              <w:spacing w:before="120"/>
              <w:rPr>
                <w:szCs w:val="20"/>
              </w:rPr>
            </w:pPr>
            <w:r w:rsidRPr="00506656">
              <w:rPr>
                <w:szCs w:val="20"/>
              </w:rPr>
              <w:t xml:space="preserve">The </w:t>
            </w:r>
            <w:r>
              <w:rPr>
                <w:szCs w:val="20"/>
              </w:rPr>
              <w:t>existence of Covid-19 and the absence of a vaccine means that a resurgence will have an impact on SAR operational response.</w:t>
            </w:r>
          </w:p>
          <w:p w14:paraId="72C28CE8" w14:textId="77777777" w:rsidR="00AE148D" w:rsidRPr="00060856" w:rsidRDefault="00AE148D" w:rsidP="004A1C60">
            <w:pPr>
              <w:pStyle w:val="BodyTextIndentBullet"/>
              <w:numPr>
                <w:ilvl w:val="0"/>
                <w:numId w:val="0"/>
              </w:numPr>
              <w:spacing w:before="120"/>
              <w:rPr>
                <w:szCs w:val="20"/>
                <w:u w:val="single"/>
              </w:rPr>
            </w:pPr>
            <w:r w:rsidRPr="00060856">
              <w:rPr>
                <w:szCs w:val="20"/>
                <w:u w:val="single"/>
              </w:rPr>
              <w:t>Operational</w:t>
            </w:r>
          </w:p>
          <w:p w14:paraId="2CA4934C" w14:textId="77777777" w:rsidR="00AE148D" w:rsidRDefault="00AE148D" w:rsidP="00AE148D">
            <w:pPr>
              <w:pStyle w:val="BodyTextIndentBullet"/>
              <w:numPr>
                <w:ilvl w:val="0"/>
                <w:numId w:val="30"/>
              </w:numPr>
              <w:spacing w:before="120"/>
              <w:ind w:left="347"/>
              <w:rPr>
                <w:szCs w:val="20"/>
              </w:rPr>
            </w:pPr>
            <w:r>
              <w:rPr>
                <w:szCs w:val="20"/>
              </w:rPr>
              <w:t>SAR personnel are unavailable/unable to respond.</w:t>
            </w:r>
          </w:p>
          <w:p w14:paraId="40B39D8E" w14:textId="77777777" w:rsidR="00AE148D" w:rsidRDefault="00AE148D" w:rsidP="00AE148D">
            <w:pPr>
              <w:pStyle w:val="BodyTextIndentBullet"/>
              <w:numPr>
                <w:ilvl w:val="0"/>
                <w:numId w:val="30"/>
              </w:numPr>
              <w:spacing w:before="120"/>
              <w:ind w:left="347"/>
              <w:rPr>
                <w:szCs w:val="20"/>
              </w:rPr>
            </w:pPr>
            <w:r>
              <w:rPr>
                <w:szCs w:val="20"/>
              </w:rPr>
              <w:t>Aircraft landing access to Pacific Islands is restricted or denied.</w:t>
            </w:r>
          </w:p>
          <w:p w14:paraId="45B02D59" w14:textId="77777777" w:rsidR="00AE148D" w:rsidRDefault="00AE148D" w:rsidP="00AE148D">
            <w:pPr>
              <w:pStyle w:val="BodyTextIndentBullet"/>
              <w:numPr>
                <w:ilvl w:val="0"/>
                <w:numId w:val="30"/>
              </w:numPr>
              <w:spacing w:before="120"/>
              <w:ind w:left="347"/>
              <w:rPr>
                <w:szCs w:val="20"/>
              </w:rPr>
            </w:pPr>
            <w:r>
              <w:rPr>
                <w:szCs w:val="20"/>
              </w:rPr>
              <w:t>Issues associated with the rescue / transfer of medevac patients deemed at risk of carrying Covid-19.</w:t>
            </w:r>
          </w:p>
          <w:p w14:paraId="12C8843B" w14:textId="77777777" w:rsidR="00AE148D" w:rsidRDefault="00AE148D" w:rsidP="00AE148D">
            <w:pPr>
              <w:pStyle w:val="BodyTextIndentBullet"/>
              <w:numPr>
                <w:ilvl w:val="0"/>
                <w:numId w:val="30"/>
              </w:numPr>
              <w:spacing w:before="120"/>
              <w:ind w:left="347"/>
              <w:rPr>
                <w:szCs w:val="20"/>
              </w:rPr>
            </w:pPr>
            <w:r>
              <w:rPr>
                <w:szCs w:val="20"/>
              </w:rPr>
              <w:t>Reputational / health damage should SAR person or rescue person be a Covid -19 vector</w:t>
            </w:r>
          </w:p>
          <w:p w14:paraId="6579ECB5" w14:textId="77777777" w:rsidR="00AE148D" w:rsidRDefault="00AE148D" w:rsidP="00AE148D">
            <w:pPr>
              <w:pStyle w:val="BodyTextIndentBullet"/>
              <w:numPr>
                <w:ilvl w:val="0"/>
                <w:numId w:val="30"/>
              </w:numPr>
              <w:spacing w:before="120"/>
              <w:ind w:left="347"/>
              <w:rPr>
                <w:szCs w:val="20"/>
              </w:rPr>
            </w:pPr>
            <w:r>
              <w:rPr>
                <w:szCs w:val="20"/>
              </w:rPr>
              <w:t xml:space="preserve"> Unavailability of SAR assets if they become uneconomic to operate.</w:t>
            </w:r>
          </w:p>
          <w:p w14:paraId="31857731" w14:textId="63B21231" w:rsidR="00AE148D" w:rsidRPr="00060856" w:rsidRDefault="00AE148D" w:rsidP="00AE148D">
            <w:pPr>
              <w:pStyle w:val="BodyTextIndentBullet"/>
              <w:numPr>
                <w:ilvl w:val="0"/>
                <w:numId w:val="30"/>
              </w:numPr>
              <w:spacing w:before="120"/>
              <w:ind w:left="347"/>
              <w:rPr>
                <w:szCs w:val="20"/>
              </w:rPr>
            </w:pPr>
            <w:r>
              <w:rPr>
                <w:szCs w:val="20"/>
              </w:rPr>
              <w:t>Operational limitations imposed</w:t>
            </w:r>
          </w:p>
          <w:p w14:paraId="683A6FA3" w14:textId="77777777" w:rsidR="00AE148D" w:rsidRPr="00060856" w:rsidRDefault="00AE148D" w:rsidP="004A1C60">
            <w:pPr>
              <w:pStyle w:val="BodyTextIndentBullet"/>
              <w:numPr>
                <w:ilvl w:val="0"/>
                <w:numId w:val="0"/>
              </w:numPr>
              <w:spacing w:before="120"/>
              <w:ind w:left="-13"/>
              <w:rPr>
                <w:szCs w:val="20"/>
                <w:u w:val="single"/>
              </w:rPr>
            </w:pPr>
            <w:r w:rsidRPr="00060856">
              <w:rPr>
                <w:szCs w:val="20"/>
                <w:u w:val="single"/>
              </w:rPr>
              <w:t>Systemic</w:t>
            </w:r>
          </w:p>
          <w:p w14:paraId="24D99C14" w14:textId="77777777" w:rsidR="00AE148D" w:rsidRDefault="00AE148D" w:rsidP="00AE148D">
            <w:pPr>
              <w:pStyle w:val="BodyTextIndentBullet"/>
              <w:numPr>
                <w:ilvl w:val="0"/>
                <w:numId w:val="30"/>
              </w:numPr>
              <w:spacing w:before="120"/>
              <w:ind w:left="347"/>
              <w:rPr>
                <w:szCs w:val="20"/>
              </w:rPr>
            </w:pPr>
            <w:r>
              <w:rPr>
                <w:szCs w:val="20"/>
              </w:rPr>
              <w:t>Funding sources / supply for SAR NGO agencies is reduced</w:t>
            </w:r>
          </w:p>
          <w:p w14:paraId="4B457944" w14:textId="77777777" w:rsidR="00AE148D" w:rsidRDefault="00AE148D" w:rsidP="00AE148D">
            <w:pPr>
              <w:pStyle w:val="BodyTextIndentBullet"/>
              <w:numPr>
                <w:ilvl w:val="0"/>
                <w:numId w:val="30"/>
              </w:numPr>
              <w:spacing w:before="120"/>
              <w:ind w:left="347"/>
              <w:rPr>
                <w:szCs w:val="20"/>
              </w:rPr>
            </w:pPr>
            <w:r>
              <w:rPr>
                <w:szCs w:val="20"/>
              </w:rPr>
              <w:t>Restrictions on the availability and/or willingness of volunteers to participate in SAR activities.</w:t>
            </w:r>
          </w:p>
          <w:p w14:paraId="434A02EA" w14:textId="77777777" w:rsidR="00AE148D" w:rsidRDefault="00AE148D" w:rsidP="00AE148D">
            <w:pPr>
              <w:pStyle w:val="BodyTextIndentBullet"/>
              <w:numPr>
                <w:ilvl w:val="0"/>
                <w:numId w:val="30"/>
              </w:numPr>
              <w:spacing w:before="120"/>
              <w:ind w:left="347"/>
              <w:rPr>
                <w:szCs w:val="20"/>
              </w:rPr>
            </w:pPr>
            <w:r>
              <w:rPr>
                <w:szCs w:val="20"/>
              </w:rPr>
              <w:t>SAR equipment cannot be maintained at operational levels due to supply or maintenance disruptions.</w:t>
            </w:r>
          </w:p>
          <w:p w14:paraId="095EA35A" w14:textId="77777777" w:rsidR="00AE148D" w:rsidRDefault="00AE148D" w:rsidP="00AE148D">
            <w:pPr>
              <w:pStyle w:val="BodyTextIndentBullet"/>
              <w:numPr>
                <w:ilvl w:val="0"/>
                <w:numId w:val="30"/>
              </w:numPr>
              <w:spacing w:before="120"/>
              <w:ind w:left="347"/>
              <w:rPr>
                <w:szCs w:val="20"/>
              </w:rPr>
            </w:pPr>
            <w:r>
              <w:rPr>
                <w:szCs w:val="20"/>
              </w:rPr>
              <w:t>Training cannot be delivered reducing response capability</w:t>
            </w:r>
          </w:p>
          <w:p w14:paraId="4CFF537C" w14:textId="77777777" w:rsidR="00AE148D" w:rsidRDefault="00AE148D" w:rsidP="00AE148D">
            <w:pPr>
              <w:pStyle w:val="BodyTextIndentBullet"/>
              <w:numPr>
                <w:ilvl w:val="0"/>
                <w:numId w:val="30"/>
              </w:numPr>
              <w:spacing w:before="120"/>
              <w:ind w:left="347"/>
              <w:rPr>
                <w:szCs w:val="20"/>
              </w:rPr>
            </w:pPr>
            <w:r>
              <w:rPr>
                <w:szCs w:val="20"/>
              </w:rPr>
              <w:t xml:space="preserve">Economic impacts </w:t>
            </w:r>
            <w:proofErr w:type="gramStart"/>
            <w:r>
              <w:rPr>
                <w:szCs w:val="20"/>
              </w:rPr>
              <w:t>reduces</w:t>
            </w:r>
            <w:proofErr w:type="gramEnd"/>
            <w:r>
              <w:rPr>
                <w:szCs w:val="20"/>
              </w:rPr>
              <w:t xml:space="preserve"> SAR volunteerism.</w:t>
            </w:r>
          </w:p>
          <w:p w14:paraId="0EAD6D18" w14:textId="4E6A9547" w:rsidR="00AE148D" w:rsidRDefault="00AE148D" w:rsidP="00AE148D">
            <w:pPr>
              <w:pStyle w:val="BodyTextIndentBullet"/>
              <w:numPr>
                <w:ilvl w:val="0"/>
                <w:numId w:val="30"/>
              </w:numPr>
              <w:spacing w:before="120"/>
              <w:ind w:left="347"/>
              <w:rPr>
                <w:szCs w:val="20"/>
              </w:rPr>
            </w:pPr>
            <w:r>
              <w:rPr>
                <w:szCs w:val="20"/>
              </w:rPr>
              <w:t>Loss of systemic agility.</w:t>
            </w:r>
          </w:p>
          <w:p w14:paraId="2E3EEA71" w14:textId="77777777" w:rsidR="00AE148D" w:rsidRPr="00506656" w:rsidRDefault="00AE148D" w:rsidP="004A1C60">
            <w:pPr>
              <w:pStyle w:val="BodyTextIndentBullet"/>
              <w:numPr>
                <w:ilvl w:val="0"/>
                <w:numId w:val="0"/>
              </w:numPr>
              <w:spacing w:before="120"/>
              <w:ind w:left="1440" w:hanging="360"/>
              <w:rPr>
                <w:szCs w:val="20"/>
              </w:rPr>
            </w:pPr>
          </w:p>
        </w:tc>
        <w:tc>
          <w:tcPr>
            <w:tcW w:w="397" w:type="dxa"/>
            <w:vMerge w:val="restart"/>
            <w:tcBorders>
              <w:bottom w:val="single" w:sz="4" w:space="0" w:color="auto"/>
            </w:tcBorders>
            <w:textDirection w:val="btLr"/>
          </w:tcPr>
          <w:p w14:paraId="3EB4B7C9" w14:textId="77777777" w:rsidR="00AE148D" w:rsidRPr="00506656" w:rsidRDefault="00AE148D" w:rsidP="004A1C60">
            <w:pPr>
              <w:pStyle w:val="Heading2"/>
              <w:spacing w:before="0"/>
              <w:ind w:right="113"/>
              <w:jc w:val="center"/>
              <w:outlineLvl w:val="1"/>
              <w:rPr>
                <w:b w:val="0"/>
                <w:color w:val="auto"/>
                <w:sz w:val="20"/>
              </w:rPr>
            </w:pPr>
            <w:r>
              <w:rPr>
                <w:b w:val="0"/>
                <w:color w:val="auto"/>
                <w:sz w:val="20"/>
              </w:rPr>
              <w:t>High</w:t>
            </w:r>
          </w:p>
        </w:tc>
        <w:tc>
          <w:tcPr>
            <w:tcW w:w="397" w:type="dxa"/>
            <w:vMerge w:val="restart"/>
            <w:tcBorders>
              <w:bottom w:val="single" w:sz="4" w:space="0" w:color="auto"/>
            </w:tcBorders>
            <w:textDirection w:val="btLr"/>
          </w:tcPr>
          <w:p w14:paraId="35FB5F7B" w14:textId="77777777" w:rsidR="00AE148D" w:rsidRPr="00506656" w:rsidRDefault="00AE148D" w:rsidP="004A1C60">
            <w:pPr>
              <w:pStyle w:val="Heading2"/>
              <w:spacing w:before="0" w:line="360" w:lineRule="auto"/>
              <w:ind w:right="113"/>
              <w:jc w:val="center"/>
              <w:outlineLvl w:val="1"/>
              <w:rPr>
                <w:b w:val="0"/>
                <w:color w:val="auto"/>
                <w:sz w:val="20"/>
              </w:rPr>
            </w:pPr>
            <w:r w:rsidRPr="00506656">
              <w:rPr>
                <w:b w:val="0"/>
                <w:color w:val="auto"/>
                <w:sz w:val="20"/>
              </w:rPr>
              <w:t>Major</w:t>
            </w:r>
          </w:p>
        </w:tc>
        <w:tc>
          <w:tcPr>
            <w:tcW w:w="699" w:type="dxa"/>
            <w:tcBorders>
              <w:bottom w:val="single" w:sz="4" w:space="0" w:color="auto"/>
            </w:tcBorders>
            <w:shd w:val="clear" w:color="auto" w:fill="FFFF00"/>
            <w:textDirection w:val="btLr"/>
          </w:tcPr>
          <w:p w14:paraId="078AB3C6" w14:textId="3450D361" w:rsidR="00AE148D" w:rsidRPr="00506656" w:rsidRDefault="00AE148D" w:rsidP="004A1C60">
            <w:pPr>
              <w:pStyle w:val="BodyText"/>
              <w:spacing w:before="120" w:after="0"/>
              <w:ind w:left="113" w:right="113"/>
              <w:jc w:val="center"/>
              <w:rPr>
                <w:rFonts w:eastAsia="Times New Roman"/>
                <w:sz w:val="20"/>
                <w:szCs w:val="20"/>
              </w:rPr>
            </w:pPr>
            <w:r w:rsidRPr="00506656">
              <w:rPr>
                <w:sz w:val="20"/>
              </w:rPr>
              <w:t>(</w:t>
            </w:r>
            <w:r>
              <w:rPr>
                <w:sz w:val="20"/>
              </w:rPr>
              <w:t>Dec 20</w:t>
            </w:r>
            <w:r w:rsidRPr="00506656">
              <w:rPr>
                <w:sz w:val="20"/>
              </w:rPr>
              <w:t>)</w:t>
            </w:r>
          </w:p>
        </w:tc>
        <w:tc>
          <w:tcPr>
            <w:tcW w:w="5442" w:type="dxa"/>
            <w:tcBorders>
              <w:bottom w:val="single" w:sz="4" w:space="0" w:color="auto"/>
            </w:tcBorders>
          </w:tcPr>
          <w:p w14:paraId="6F1F6E58" w14:textId="6307EC86" w:rsidR="00AE148D" w:rsidRPr="008655D7" w:rsidRDefault="00AE148D" w:rsidP="004A1C60">
            <w:pPr>
              <w:pStyle w:val="BodyTextIndentBullet"/>
              <w:numPr>
                <w:ilvl w:val="0"/>
                <w:numId w:val="0"/>
              </w:numPr>
              <w:spacing w:before="120"/>
              <w:rPr>
                <w:szCs w:val="20"/>
              </w:rPr>
            </w:pPr>
            <w:r w:rsidRPr="008655D7">
              <w:rPr>
                <w:b/>
                <w:szCs w:val="20"/>
              </w:rPr>
              <w:t xml:space="preserve">Risk treatment </w:t>
            </w:r>
            <w:r>
              <w:rPr>
                <w:b/>
                <w:szCs w:val="20"/>
              </w:rPr>
              <w:t>202</w:t>
            </w:r>
            <w:r w:rsidR="003C53F7">
              <w:rPr>
                <w:b/>
                <w:szCs w:val="20"/>
              </w:rPr>
              <w:t>1</w:t>
            </w:r>
            <w:r w:rsidRPr="008655D7">
              <w:rPr>
                <w:b/>
                <w:szCs w:val="20"/>
              </w:rPr>
              <w:t>/</w:t>
            </w:r>
            <w:r>
              <w:rPr>
                <w:b/>
                <w:szCs w:val="20"/>
              </w:rPr>
              <w:t>11</w:t>
            </w:r>
            <w:r w:rsidRPr="008655D7">
              <w:rPr>
                <w:b/>
                <w:szCs w:val="20"/>
              </w:rPr>
              <w:t xml:space="preserve">/A:  </w:t>
            </w:r>
            <w:r>
              <w:rPr>
                <w:b/>
                <w:szCs w:val="20"/>
              </w:rPr>
              <w:t xml:space="preserve">Operating procedures for keeping SAR personnel rescued persons safe from infection and </w:t>
            </w:r>
          </w:p>
          <w:p w14:paraId="23D927BF" w14:textId="77777777" w:rsidR="00AE148D" w:rsidRDefault="00AE148D" w:rsidP="004A1C60">
            <w:pPr>
              <w:pStyle w:val="BodyTextIndentBullet"/>
              <w:spacing w:before="120"/>
              <w:ind w:left="384" w:hanging="384"/>
              <w:rPr>
                <w:szCs w:val="20"/>
              </w:rPr>
            </w:pPr>
            <w:r>
              <w:rPr>
                <w:szCs w:val="20"/>
              </w:rPr>
              <w:t>Providing agencies and coordinating authorities ensure all operating personnel have access to suitable PPE appropriate for the task/environment</w:t>
            </w:r>
          </w:p>
          <w:p w14:paraId="5CD694F0" w14:textId="77777777" w:rsidR="00AE148D" w:rsidRDefault="00AE148D" w:rsidP="004A1C60">
            <w:pPr>
              <w:pStyle w:val="BodyTextIndentBullet"/>
              <w:spacing w:before="120"/>
              <w:ind w:left="384" w:hanging="384"/>
              <w:rPr>
                <w:szCs w:val="20"/>
              </w:rPr>
            </w:pPr>
            <w:r>
              <w:rPr>
                <w:szCs w:val="20"/>
              </w:rPr>
              <w:t>SAR response agencies provide training to their personnel on the use of PPE</w:t>
            </w:r>
          </w:p>
          <w:p w14:paraId="2F1CB120" w14:textId="77777777" w:rsidR="00AE148D" w:rsidRPr="00EE092C" w:rsidRDefault="00AE148D" w:rsidP="004A1C60">
            <w:pPr>
              <w:pStyle w:val="BodyTextIndentBullet"/>
              <w:spacing w:before="120"/>
              <w:ind w:left="384" w:hanging="384"/>
              <w:rPr>
                <w:szCs w:val="20"/>
              </w:rPr>
            </w:pPr>
            <w:r>
              <w:rPr>
                <w:szCs w:val="20"/>
              </w:rPr>
              <w:t>SAR response agencies provide training to their personnel on procedures for working with rescued persons at risk of carrying Covid-19</w:t>
            </w:r>
          </w:p>
        </w:tc>
        <w:tc>
          <w:tcPr>
            <w:tcW w:w="709" w:type="dxa"/>
            <w:tcBorders>
              <w:bottom w:val="single" w:sz="4" w:space="0" w:color="auto"/>
            </w:tcBorders>
            <w:shd w:val="clear" w:color="auto" w:fill="00B050"/>
            <w:textDirection w:val="btLr"/>
          </w:tcPr>
          <w:p w14:paraId="7AC3EEB7" w14:textId="77777777" w:rsidR="00AE148D" w:rsidRDefault="00AE148D" w:rsidP="004A1C60">
            <w:pPr>
              <w:pStyle w:val="BodyText"/>
              <w:spacing w:before="120" w:after="0"/>
              <w:ind w:left="113" w:right="113"/>
              <w:jc w:val="center"/>
              <w:rPr>
                <w:rFonts w:eastAsia="Times New Roman"/>
                <w:sz w:val="20"/>
                <w:szCs w:val="20"/>
              </w:rPr>
            </w:pPr>
          </w:p>
        </w:tc>
        <w:tc>
          <w:tcPr>
            <w:tcW w:w="794" w:type="dxa"/>
            <w:tcBorders>
              <w:bottom w:val="single" w:sz="4" w:space="0" w:color="auto"/>
            </w:tcBorders>
            <w:shd w:val="clear" w:color="auto" w:fill="00B050"/>
            <w:textDirection w:val="btLr"/>
          </w:tcPr>
          <w:p w14:paraId="49A9D75E" w14:textId="77777777" w:rsidR="00AE148D" w:rsidRPr="00A71DFA" w:rsidRDefault="00AE148D" w:rsidP="004A1C60">
            <w:pPr>
              <w:pStyle w:val="BodyText"/>
              <w:spacing w:after="0"/>
              <w:jc w:val="center"/>
              <w:rPr>
                <w:rFonts w:eastAsia="Times New Roman"/>
                <w:sz w:val="20"/>
                <w:szCs w:val="20"/>
              </w:rPr>
            </w:pPr>
          </w:p>
        </w:tc>
        <w:tc>
          <w:tcPr>
            <w:tcW w:w="3260" w:type="dxa"/>
            <w:tcBorders>
              <w:bottom w:val="single" w:sz="4" w:space="0" w:color="auto"/>
            </w:tcBorders>
          </w:tcPr>
          <w:p w14:paraId="13B818C7" w14:textId="77777777" w:rsidR="00AE148D" w:rsidRPr="001923B9" w:rsidRDefault="00AE148D" w:rsidP="004A1C60">
            <w:pPr>
              <w:pStyle w:val="BodyText"/>
              <w:spacing w:after="0"/>
              <w:rPr>
                <w:rFonts w:eastAsia="Times New Roman"/>
                <w:sz w:val="20"/>
                <w:szCs w:val="20"/>
              </w:rPr>
            </w:pPr>
            <w:r w:rsidRPr="001923B9">
              <w:rPr>
                <w:rFonts w:eastAsia="Times New Roman"/>
                <w:b/>
                <w:bCs/>
                <w:sz w:val="20"/>
                <w:szCs w:val="20"/>
              </w:rPr>
              <w:t>Police Comment.</w:t>
            </w:r>
            <w:r>
              <w:rPr>
                <w:rFonts w:eastAsia="Times New Roman"/>
                <w:sz w:val="20"/>
                <w:szCs w:val="20"/>
              </w:rPr>
              <w:t xml:space="preserve"> </w:t>
            </w:r>
            <w:r w:rsidRPr="001923B9">
              <w:rPr>
                <w:rFonts w:eastAsia="Times New Roman"/>
                <w:sz w:val="20"/>
                <w:szCs w:val="20"/>
              </w:rPr>
              <w:t xml:space="preserve">For Cat 1/Police lead activity, PPE Leads in Districts have been briefed that where </w:t>
            </w:r>
            <w:r>
              <w:rPr>
                <w:rFonts w:eastAsia="Times New Roman"/>
                <w:sz w:val="20"/>
                <w:szCs w:val="20"/>
              </w:rPr>
              <w:t>Police</w:t>
            </w:r>
            <w:r w:rsidRPr="001923B9">
              <w:rPr>
                <w:rFonts w:eastAsia="Times New Roman"/>
                <w:sz w:val="20"/>
                <w:szCs w:val="20"/>
              </w:rPr>
              <w:t xml:space="preserve"> are tasking partner agency staff for SAR activities in a pandemic environment, or attempting to locate pandemic infected people then via the Duty SAR and PPE Lead:</w:t>
            </w:r>
          </w:p>
          <w:p w14:paraId="189B45CA" w14:textId="77777777" w:rsidR="00AE148D" w:rsidRPr="001923B9" w:rsidRDefault="00AE148D" w:rsidP="00AE148D">
            <w:pPr>
              <w:pStyle w:val="BodyText"/>
              <w:numPr>
                <w:ilvl w:val="0"/>
                <w:numId w:val="33"/>
              </w:numPr>
              <w:spacing w:after="0"/>
              <w:ind w:left="405" w:hanging="284"/>
              <w:rPr>
                <w:rFonts w:eastAsia="Times New Roman"/>
                <w:sz w:val="20"/>
                <w:szCs w:val="20"/>
              </w:rPr>
            </w:pPr>
            <w:r w:rsidRPr="001923B9">
              <w:rPr>
                <w:rFonts w:eastAsia="Times New Roman"/>
                <w:sz w:val="20"/>
                <w:szCs w:val="20"/>
              </w:rPr>
              <w:t xml:space="preserve">Appropriate PPE will be supplied </w:t>
            </w:r>
          </w:p>
          <w:p w14:paraId="17D11267" w14:textId="77777777" w:rsidR="00AE148D" w:rsidRPr="001923B9" w:rsidRDefault="00AE148D" w:rsidP="00AE148D">
            <w:pPr>
              <w:pStyle w:val="BodyText"/>
              <w:numPr>
                <w:ilvl w:val="0"/>
                <w:numId w:val="33"/>
              </w:numPr>
              <w:spacing w:after="0"/>
              <w:ind w:left="405" w:hanging="284"/>
              <w:rPr>
                <w:rFonts w:eastAsia="Times New Roman"/>
                <w:sz w:val="20"/>
                <w:szCs w:val="20"/>
              </w:rPr>
            </w:pPr>
            <w:r w:rsidRPr="001923B9">
              <w:rPr>
                <w:rFonts w:eastAsia="Times New Roman"/>
                <w:sz w:val="20"/>
                <w:szCs w:val="20"/>
              </w:rPr>
              <w:t>Appropriate instruction as to its carriage, use and disposal will be provided</w:t>
            </w:r>
          </w:p>
        </w:tc>
      </w:tr>
      <w:tr w:rsidR="00AE148D" w:rsidRPr="00286A2D" w14:paraId="3EA85109" w14:textId="77777777" w:rsidTr="004A1C60">
        <w:trPr>
          <w:trHeight w:val="2148"/>
        </w:trPr>
        <w:tc>
          <w:tcPr>
            <w:tcW w:w="993" w:type="dxa"/>
            <w:vMerge/>
            <w:tcBorders>
              <w:bottom w:val="single" w:sz="4" w:space="0" w:color="auto"/>
            </w:tcBorders>
          </w:tcPr>
          <w:p w14:paraId="1FBBDE25" w14:textId="77777777" w:rsidR="00AE148D" w:rsidRPr="002D6CCE" w:rsidRDefault="00AE148D" w:rsidP="004A1C60">
            <w:pPr>
              <w:pStyle w:val="BodyText"/>
              <w:spacing w:before="120" w:after="0"/>
              <w:rPr>
                <w:rFonts w:eastAsia="Times New Roman"/>
                <w:sz w:val="20"/>
                <w:szCs w:val="20"/>
              </w:rPr>
            </w:pPr>
          </w:p>
        </w:tc>
        <w:tc>
          <w:tcPr>
            <w:tcW w:w="1701" w:type="dxa"/>
            <w:vMerge/>
            <w:tcBorders>
              <w:bottom w:val="single" w:sz="4" w:space="0" w:color="auto"/>
            </w:tcBorders>
          </w:tcPr>
          <w:p w14:paraId="05460404" w14:textId="77777777" w:rsidR="00AE148D" w:rsidRPr="00890F7E" w:rsidRDefault="00AE148D" w:rsidP="004A1C60">
            <w:pPr>
              <w:pStyle w:val="BodyText"/>
              <w:spacing w:before="120" w:after="0"/>
              <w:rPr>
                <w:rFonts w:eastAsia="Times New Roman"/>
                <w:b/>
                <w:sz w:val="20"/>
                <w:szCs w:val="20"/>
              </w:rPr>
            </w:pPr>
          </w:p>
        </w:tc>
        <w:tc>
          <w:tcPr>
            <w:tcW w:w="4253" w:type="dxa"/>
            <w:vMerge/>
          </w:tcPr>
          <w:p w14:paraId="6A14C75F" w14:textId="77777777" w:rsidR="00AE148D" w:rsidRPr="008655D7" w:rsidRDefault="00AE148D" w:rsidP="004A1C60">
            <w:pPr>
              <w:pStyle w:val="BodyText"/>
              <w:spacing w:before="120" w:after="0"/>
              <w:rPr>
                <w:szCs w:val="20"/>
              </w:rPr>
            </w:pPr>
          </w:p>
        </w:tc>
        <w:tc>
          <w:tcPr>
            <w:tcW w:w="3696" w:type="dxa"/>
            <w:vMerge/>
            <w:tcBorders>
              <w:bottom w:val="single" w:sz="4" w:space="0" w:color="auto"/>
            </w:tcBorders>
          </w:tcPr>
          <w:p w14:paraId="3A317103" w14:textId="77777777" w:rsidR="00AE148D" w:rsidRPr="008655D7" w:rsidRDefault="00AE148D" w:rsidP="004A1C60">
            <w:pPr>
              <w:pStyle w:val="BodyTextIndentBullet"/>
              <w:numPr>
                <w:ilvl w:val="0"/>
                <w:numId w:val="0"/>
              </w:numPr>
              <w:spacing w:before="120"/>
              <w:rPr>
                <w:szCs w:val="20"/>
              </w:rPr>
            </w:pPr>
          </w:p>
        </w:tc>
        <w:tc>
          <w:tcPr>
            <w:tcW w:w="397" w:type="dxa"/>
            <w:vMerge/>
            <w:tcBorders>
              <w:bottom w:val="single" w:sz="4" w:space="0" w:color="auto"/>
            </w:tcBorders>
            <w:textDirection w:val="btLr"/>
          </w:tcPr>
          <w:p w14:paraId="15C95057" w14:textId="77777777" w:rsidR="00AE148D" w:rsidRDefault="00AE148D" w:rsidP="004A1C60">
            <w:pPr>
              <w:pStyle w:val="Heading2"/>
              <w:spacing w:before="0"/>
              <w:ind w:right="113"/>
              <w:jc w:val="center"/>
              <w:outlineLvl w:val="1"/>
              <w:rPr>
                <w:b w:val="0"/>
                <w:color w:val="auto"/>
                <w:sz w:val="20"/>
              </w:rPr>
            </w:pPr>
          </w:p>
        </w:tc>
        <w:tc>
          <w:tcPr>
            <w:tcW w:w="397" w:type="dxa"/>
            <w:vMerge/>
            <w:tcBorders>
              <w:bottom w:val="single" w:sz="4" w:space="0" w:color="auto"/>
            </w:tcBorders>
            <w:textDirection w:val="btLr"/>
          </w:tcPr>
          <w:p w14:paraId="671BE1AF" w14:textId="77777777" w:rsidR="00AE148D" w:rsidRDefault="00AE148D" w:rsidP="004A1C60">
            <w:pPr>
              <w:pStyle w:val="Heading2"/>
              <w:spacing w:before="0" w:line="360" w:lineRule="auto"/>
              <w:ind w:right="113"/>
              <w:jc w:val="center"/>
              <w:outlineLvl w:val="1"/>
              <w:rPr>
                <w:b w:val="0"/>
                <w:color w:val="auto"/>
                <w:sz w:val="20"/>
              </w:rPr>
            </w:pPr>
          </w:p>
        </w:tc>
        <w:tc>
          <w:tcPr>
            <w:tcW w:w="699" w:type="dxa"/>
            <w:tcBorders>
              <w:bottom w:val="single" w:sz="4" w:space="0" w:color="auto"/>
            </w:tcBorders>
            <w:shd w:val="clear" w:color="auto" w:fill="FFFF00"/>
            <w:textDirection w:val="btLr"/>
          </w:tcPr>
          <w:p w14:paraId="33ADECBD" w14:textId="753423A3" w:rsidR="00AE148D" w:rsidRPr="00506656" w:rsidRDefault="00AE148D" w:rsidP="004A1C60">
            <w:pPr>
              <w:pStyle w:val="BodyText"/>
              <w:spacing w:before="120" w:after="0"/>
              <w:ind w:left="113" w:right="113"/>
              <w:jc w:val="center"/>
              <w:rPr>
                <w:sz w:val="20"/>
              </w:rPr>
            </w:pPr>
            <w:r w:rsidRPr="00506656">
              <w:rPr>
                <w:sz w:val="20"/>
              </w:rPr>
              <w:t>(</w:t>
            </w:r>
            <w:r>
              <w:rPr>
                <w:sz w:val="20"/>
              </w:rPr>
              <w:t>Dec 20</w:t>
            </w:r>
            <w:r w:rsidRPr="00506656">
              <w:rPr>
                <w:sz w:val="20"/>
              </w:rPr>
              <w:t>)</w:t>
            </w:r>
          </w:p>
        </w:tc>
        <w:tc>
          <w:tcPr>
            <w:tcW w:w="5442" w:type="dxa"/>
            <w:tcBorders>
              <w:bottom w:val="single" w:sz="4" w:space="0" w:color="auto"/>
            </w:tcBorders>
          </w:tcPr>
          <w:p w14:paraId="325FD34C" w14:textId="081EBF26" w:rsidR="00AE148D" w:rsidRDefault="00AE148D" w:rsidP="004A1C60">
            <w:pPr>
              <w:pStyle w:val="BodyTextIndentBullet"/>
              <w:numPr>
                <w:ilvl w:val="0"/>
                <w:numId w:val="0"/>
              </w:numPr>
              <w:spacing w:before="120"/>
              <w:rPr>
                <w:b/>
                <w:szCs w:val="20"/>
              </w:rPr>
            </w:pPr>
            <w:r w:rsidRPr="008655D7">
              <w:rPr>
                <w:b/>
                <w:szCs w:val="20"/>
              </w:rPr>
              <w:t xml:space="preserve">Risk treatment </w:t>
            </w:r>
            <w:r>
              <w:rPr>
                <w:b/>
                <w:szCs w:val="20"/>
              </w:rPr>
              <w:t>202</w:t>
            </w:r>
            <w:r w:rsidR="003C53F7">
              <w:rPr>
                <w:b/>
                <w:szCs w:val="20"/>
              </w:rPr>
              <w:t>1</w:t>
            </w:r>
            <w:r w:rsidRPr="008655D7">
              <w:rPr>
                <w:b/>
                <w:szCs w:val="20"/>
              </w:rPr>
              <w:t>/</w:t>
            </w:r>
            <w:r>
              <w:rPr>
                <w:b/>
                <w:szCs w:val="20"/>
              </w:rPr>
              <w:t>11</w:t>
            </w:r>
            <w:r w:rsidRPr="008655D7">
              <w:rPr>
                <w:b/>
                <w:szCs w:val="20"/>
              </w:rPr>
              <w:t>/</w:t>
            </w:r>
            <w:r>
              <w:rPr>
                <w:b/>
                <w:szCs w:val="20"/>
              </w:rPr>
              <w:t>B</w:t>
            </w:r>
            <w:r w:rsidRPr="008655D7">
              <w:rPr>
                <w:b/>
                <w:szCs w:val="20"/>
              </w:rPr>
              <w:t xml:space="preserve">:  </w:t>
            </w:r>
            <w:r>
              <w:rPr>
                <w:b/>
                <w:szCs w:val="20"/>
              </w:rPr>
              <w:t>Procedures for managing off-shore rescued persons at risk of carrying Covid-19 are established</w:t>
            </w:r>
          </w:p>
          <w:p w14:paraId="2139CCC6" w14:textId="77777777" w:rsidR="00AE148D" w:rsidRDefault="00AE148D" w:rsidP="00AE148D">
            <w:pPr>
              <w:pStyle w:val="BodyTextIndentBullet"/>
              <w:numPr>
                <w:ilvl w:val="0"/>
                <w:numId w:val="31"/>
              </w:numPr>
              <w:spacing w:before="120"/>
              <w:ind w:left="402"/>
              <w:rPr>
                <w:szCs w:val="20"/>
              </w:rPr>
            </w:pPr>
            <w:r>
              <w:rPr>
                <w:szCs w:val="20"/>
              </w:rPr>
              <w:t>RCCNZ establishes procedures for managing rescued persons for transport directly to NZ</w:t>
            </w:r>
          </w:p>
          <w:p w14:paraId="41718A51" w14:textId="77777777" w:rsidR="00AE148D" w:rsidRPr="008655D7" w:rsidRDefault="00AE148D" w:rsidP="00AE148D">
            <w:pPr>
              <w:pStyle w:val="BodyTextIndentBullet"/>
              <w:numPr>
                <w:ilvl w:val="0"/>
                <w:numId w:val="31"/>
              </w:numPr>
              <w:spacing w:before="120"/>
              <w:ind w:left="402"/>
              <w:rPr>
                <w:szCs w:val="20"/>
              </w:rPr>
            </w:pPr>
            <w:r>
              <w:rPr>
                <w:szCs w:val="20"/>
              </w:rPr>
              <w:t>RCCNZ established procedures for managing rescued persons not able to be transported directly to NZ</w:t>
            </w:r>
          </w:p>
        </w:tc>
        <w:tc>
          <w:tcPr>
            <w:tcW w:w="709" w:type="dxa"/>
            <w:tcBorders>
              <w:bottom w:val="single" w:sz="4" w:space="0" w:color="auto"/>
            </w:tcBorders>
            <w:shd w:val="clear" w:color="auto" w:fill="FFFF00"/>
            <w:textDirection w:val="btLr"/>
          </w:tcPr>
          <w:p w14:paraId="3BD41CB8" w14:textId="77777777" w:rsidR="00AE148D" w:rsidRDefault="00AE148D" w:rsidP="004A1C60">
            <w:pPr>
              <w:pStyle w:val="BodyText"/>
              <w:spacing w:before="120" w:after="0"/>
              <w:ind w:left="113" w:right="113"/>
              <w:jc w:val="center"/>
              <w:rPr>
                <w:rFonts w:eastAsia="Times New Roman"/>
                <w:sz w:val="20"/>
                <w:szCs w:val="20"/>
              </w:rPr>
            </w:pPr>
          </w:p>
        </w:tc>
        <w:tc>
          <w:tcPr>
            <w:tcW w:w="794" w:type="dxa"/>
            <w:tcBorders>
              <w:bottom w:val="single" w:sz="4" w:space="0" w:color="auto"/>
            </w:tcBorders>
            <w:shd w:val="clear" w:color="auto" w:fill="00B050"/>
            <w:textDirection w:val="btLr"/>
          </w:tcPr>
          <w:p w14:paraId="535E89C5" w14:textId="77777777" w:rsidR="00AE148D" w:rsidRDefault="00AE148D" w:rsidP="004A1C60">
            <w:pPr>
              <w:pStyle w:val="BodyText"/>
              <w:spacing w:after="0"/>
              <w:jc w:val="center"/>
              <w:rPr>
                <w:rFonts w:eastAsia="Times New Roman"/>
                <w:sz w:val="20"/>
                <w:szCs w:val="20"/>
              </w:rPr>
            </w:pPr>
          </w:p>
        </w:tc>
        <w:tc>
          <w:tcPr>
            <w:tcW w:w="3260" w:type="dxa"/>
            <w:tcBorders>
              <w:bottom w:val="single" w:sz="4" w:space="0" w:color="auto"/>
            </w:tcBorders>
          </w:tcPr>
          <w:p w14:paraId="6CD83CFB" w14:textId="77777777" w:rsidR="00AE148D" w:rsidRPr="00A71DFA" w:rsidRDefault="00AE148D" w:rsidP="004A1C60">
            <w:pPr>
              <w:pStyle w:val="BodyText"/>
              <w:spacing w:before="120" w:after="0"/>
              <w:rPr>
                <w:rFonts w:eastAsia="Times New Roman"/>
                <w:sz w:val="20"/>
                <w:szCs w:val="20"/>
              </w:rPr>
            </w:pPr>
          </w:p>
        </w:tc>
      </w:tr>
      <w:tr w:rsidR="00AE148D" w:rsidRPr="00286A2D" w14:paraId="43378F14" w14:textId="77777777" w:rsidTr="004A1C60">
        <w:trPr>
          <w:trHeight w:val="1711"/>
        </w:trPr>
        <w:tc>
          <w:tcPr>
            <w:tcW w:w="993" w:type="dxa"/>
            <w:vMerge/>
            <w:tcBorders>
              <w:bottom w:val="single" w:sz="4" w:space="0" w:color="auto"/>
            </w:tcBorders>
          </w:tcPr>
          <w:p w14:paraId="5A3996D1" w14:textId="77777777" w:rsidR="00AE148D" w:rsidRPr="002D6CCE" w:rsidRDefault="00AE148D" w:rsidP="004A1C60">
            <w:pPr>
              <w:pStyle w:val="BodyText"/>
              <w:spacing w:before="120" w:after="0"/>
              <w:rPr>
                <w:rFonts w:eastAsia="Times New Roman"/>
                <w:sz w:val="20"/>
                <w:szCs w:val="20"/>
              </w:rPr>
            </w:pPr>
          </w:p>
        </w:tc>
        <w:tc>
          <w:tcPr>
            <w:tcW w:w="1701" w:type="dxa"/>
            <w:vMerge/>
            <w:tcBorders>
              <w:bottom w:val="single" w:sz="4" w:space="0" w:color="auto"/>
            </w:tcBorders>
          </w:tcPr>
          <w:p w14:paraId="6E5BB3E1" w14:textId="77777777" w:rsidR="00AE148D" w:rsidRPr="00890F7E" w:rsidRDefault="00AE148D" w:rsidP="004A1C60">
            <w:pPr>
              <w:pStyle w:val="BodyText"/>
              <w:spacing w:before="120" w:after="0"/>
              <w:rPr>
                <w:rFonts w:eastAsia="Times New Roman"/>
                <w:b/>
                <w:sz w:val="20"/>
                <w:szCs w:val="20"/>
              </w:rPr>
            </w:pPr>
          </w:p>
        </w:tc>
        <w:tc>
          <w:tcPr>
            <w:tcW w:w="4253" w:type="dxa"/>
            <w:vMerge/>
            <w:tcBorders>
              <w:bottom w:val="single" w:sz="4" w:space="0" w:color="auto"/>
            </w:tcBorders>
          </w:tcPr>
          <w:p w14:paraId="4F10A46A" w14:textId="77777777" w:rsidR="00AE148D" w:rsidRPr="00506656" w:rsidRDefault="00AE148D" w:rsidP="004A1C60">
            <w:pPr>
              <w:pStyle w:val="BodyText"/>
              <w:spacing w:before="120" w:after="0"/>
              <w:rPr>
                <w:szCs w:val="20"/>
              </w:rPr>
            </w:pPr>
          </w:p>
        </w:tc>
        <w:tc>
          <w:tcPr>
            <w:tcW w:w="3696" w:type="dxa"/>
            <w:vMerge/>
            <w:tcBorders>
              <w:bottom w:val="single" w:sz="4" w:space="0" w:color="auto"/>
            </w:tcBorders>
          </w:tcPr>
          <w:p w14:paraId="4C806314" w14:textId="77777777" w:rsidR="00AE148D" w:rsidRPr="008655D7" w:rsidRDefault="00AE148D" w:rsidP="004A1C60">
            <w:pPr>
              <w:pStyle w:val="BodyText"/>
              <w:spacing w:before="120" w:after="0"/>
              <w:jc w:val="center"/>
              <w:rPr>
                <w:szCs w:val="20"/>
              </w:rPr>
            </w:pPr>
          </w:p>
        </w:tc>
        <w:tc>
          <w:tcPr>
            <w:tcW w:w="397" w:type="dxa"/>
            <w:vMerge/>
            <w:tcBorders>
              <w:bottom w:val="single" w:sz="4" w:space="0" w:color="auto"/>
            </w:tcBorders>
            <w:textDirection w:val="btLr"/>
          </w:tcPr>
          <w:p w14:paraId="7465D7AB" w14:textId="77777777" w:rsidR="00AE148D" w:rsidRDefault="00AE148D" w:rsidP="004A1C60">
            <w:pPr>
              <w:pStyle w:val="Heading2"/>
              <w:spacing w:before="0" w:line="360" w:lineRule="auto"/>
              <w:ind w:right="113"/>
              <w:jc w:val="center"/>
              <w:outlineLvl w:val="1"/>
              <w:rPr>
                <w:b w:val="0"/>
                <w:color w:val="auto"/>
                <w:sz w:val="20"/>
              </w:rPr>
            </w:pPr>
          </w:p>
        </w:tc>
        <w:tc>
          <w:tcPr>
            <w:tcW w:w="397" w:type="dxa"/>
            <w:vMerge/>
            <w:tcBorders>
              <w:bottom w:val="single" w:sz="4" w:space="0" w:color="auto"/>
            </w:tcBorders>
            <w:textDirection w:val="btLr"/>
          </w:tcPr>
          <w:p w14:paraId="020FC06C" w14:textId="77777777" w:rsidR="00AE148D" w:rsidRDefault="00AE148D" w:rsidP="004A1C60">
            <w:pPr>
              <w:pStyle w:val="Heading2"/>
              <w:spacing w:before="0" w:line="360" w:lineRule="auto"/>
              <w:ind w:right="113"/>
              <w:jc w:val="center"/>
              <w:outlineLvl w:val="1"/>
              <w:rPr>
                <w:b w:val="0"/>
                <w:color w:val="auto"/>
                <w:sz w:val="20"/>
              </w:rPr>
            </w:pPr>
          </w:p>
        </w:tc>
        <w:tc>
          <w:tcPr>
            <w:tcW w:w="699" w:type="dxa"/>
            <w:tcBorders>
              <w:bottom w:val="single" w:sz="4" w:space="0" w:color="auto"/>
            </w:tcBorders>
            <w:shd w:val="clear" w:color="auto" w:fill="FFFF00"/>
            <w:textDirection w:val="btLr"/>
          </w:tcPr>
          <w:p w14:paraId="3155A81B" w14:textId="6B9E3743" w:rsidR="00AE148D" w:rsidRPr="00506656" w:rsidRDefault="00AE148D" w:rsidP="004A1C60">
            <w:pPr>
              <w:spacing w:after="160" w:line="259" w:lineRule="auto"/>
              <w:jc w:val="center"/>
              <w:rPr>
                <w:rFonts w:eastAsia="Times New Roman"/>
                <w:sz w:val="20"/>
                <w:szCs w:val="20"/>
              </w:rPr>
            </w:pPr>
            <w:r w:rsidRPr="00506656">
              <w:rPr>
                <w:sz w:val="20"/>
              </w:rPr>
              <w:t>(</w:t>
            </w:r>
            <w:r>
              <w:rPr>
                <w:sz w:val="20"/>
              </w:rPr>
              <w:t>Dec 20)</w:t>
            </w:r>
          </w:p>
        </w:tc>
        <w:tc>
          <w:tcPr>
            <w:tcW w:w="5442" w:type="dxa"/>
            <w:tcBorders>
              <w:bottom w:val="single" w:sz="4" w:space="0" w:color="auto"/>
            </w:tcBorders>
          </w:tcPr>
          <w:p w14:paraId="3E1EE87B" w14:textId="3DC35CA9" w:rsidR="00AE148D" w:rsidRDefault="00AE148D" w:rsidP="004A1C60">
            <w:pPr>
              <w:pStyle w:val="BodyTextIndentBullet"/>
              <w:numPr>
                <w:ilvl w:val="0"/>
                <w:numId w:val="0"/>
              </w:numPr>
              <w:spacing w:before="120"/>
              <w:rPr>
                <w:b/>
                <w:szCs w:val="20"/>
              </w:rPr>
            </w:pPr>
            <w:r w:rsidRPr="008655D7">
              <w:rPr>
                <w:b/>
                <w:szCs w:val="20"/>
              </w:rPr>
              <w:t xml:space="preserve">Risk treatment </w:t>
            </w:r>
            <w:r>
              <w:rPr>
                <w:b/>
                <w:szCs w:val="20"/>
              </w:rPr>
              <w:t>202</w:t>
            </w:r>
            <w:r w:rsidR="003C53F7">
              <w:rPr>
                <w:b/>
                <w:szCs w:val="20"/>
              </w:rPr>
              <w:t>1</w:t>
            </w:r>
            <w:r w:rsidRPr="008655D7">
              <w:rPr>
                <w:b/>
                <w:szCs w:val="20"/>
              </w:rPr>
              <w:t>/</w:t>
            </w:r>
            <w:r>
              <w:rPr>
                <w:b/>
                <w:szCs w:val="20"/>
              </w:rPr>
              <w:t>11</w:t>
            </w:r>
            <w:r w:rsidRPr="008655D7">
              <w:rPr>
                <w:b/>
                <w:szCs w:val="20"/>
              </w:rPr>
              <w:t>/</w:t>
            </w:r>
            <w:r>
              <w:rPr>
                <w:b/>
                <w:szCs w:val="20"/>
              </w:rPr>
              <w:t>C</w:t>
            </w:r>
            <w:r w:rsidRPr="008655D7">
              <w:rPr>
                <w:b/>
                <w:szCs w:val="20"/>
              </w:rPr>
              <w:t xml:space="preserve">:  </w:t>
            </w:r>
            <w:r>
              <w:rPr>
                <w:b/>
                <w:szCs w:val="20"/>
              </w:rPr>
              <w:t>Alternative means of delivering training are established</w:t>
            </w:r>
          </w:p>
          <w:p w14:paraId="42C98AE7" w14:textId="77777777" w:rsidR="00AE148D" w:rsidRDefault="00AE148D" w:rsidP="00AE148D">
            <w:pPr>
              <w:pStyle w:val="BodyTextIndentBullet"/>
              <w:numPr>
                <w:ilvl w:val="0"/>
                <w:numId w:val="32"/>
              </w:numPr>
              <w:spacing w:before="120"/>
              <w:ind w:left="402"/>
              <w:rPr>
                <w:szCs w:val="20"/>
              </w:rPr>
            </w:pPr>
            <w:r>
              <w:rPr>
                <w:szCs w:val="20"/>
              </w:rPr>
              <w:t>Distance learning options are established for delivering training</w:t>
            </w:r>
          </w:p>
          <w:p w14:paraId="48E2A00D" w14:textId="77777777" w:rsidR="00AE148D" w:rsidRPr="00506656" w:rsidRDefault="00AE148D" w:rsidP="00AE148D">
            <w:pPr>
              <w:pStyle w:val="BodyTextIndentBullet"/>
              <w:numPr>
                <w:ilvl w:val="0"/>
                <w:numId w:val="32"/>
              </w:numPr>
              <w:spacing w:before="120"/>
              <w:ind w:left="402"/>
              <w:rPr>
                <w:szCs w:val="20"/>
              </w:rPr>
            </w:pPr>
            <w:r>
              <w:rPr>
                <w:szCs w:val="20"/>
              </w:rPr>
              <w:t>On-line resources for self-directed learning are made available for acquisition and refresher training</w:t>
            </w:r>
          </w:p>
        </w:tc>
        <w:tc>
          <w:tcPr>
            <w:tcW w:w="709" w:type="dxa"/>
            <w:tcBorders>
              <w:bottom w:val="single" w:sz="4" w:space="0" w:color="auto"/>
            </w:tcBorders>
            <w:shd w:val="clear" w:color="auto" w:fill="FFFF00"/>
            <w:textDirection w:val="btLr"/>
          </w:tcPr>
          <w:p w14:paraId="3922EE49" w14:textId="77777777" w:rsidR="00AE148D" w:rsidRDefault="00AE148D" w:rsidP="004A1C60">
            <w:pPr>
              <w:pStyle w:val="BodyText"/>
              <w:spacing w:before="120" w:after="0"/>
              <w:ind w:left="113" w:right="113"/>
              <w:jc w:val="center"/>
              <w:rPr>
                <w:rFonts w:eastAsia="Times New Roman"/>
                <w:sz w:val="20"/>
                <w:szCs w:val="20"/>
              </w:rPr>
            </w:pPr>
          </w:p>
        </w:tc>
        <w:tc>
          <w:tcPr>
            <w:tcW w:w="794" w:type="dxa"/>
            <w:tcBorders>
              <w:bottom w:val="single" w:sz="4" w:space="0" w:color="auto"/>
            </w:tcBorders>
            <w:shd w:val="clear" w:color="auto" w:fill="FFFF00"/>
            <w:textDirection w:val="btLr"/>
          </w:tcPr>
          <w:p w14:paraId="0C1C3F03" w14:textId="77777777" w:rsidR="00AE148D" w:rsidRPr="000D1DCF" w:rsidRDefault="00AE148D" w:rsidP="004A1C60">
            <w:pPr>
              <w:pStyle w:val="BodyText"/>
              <w:spacing w:after="0"/>
              <w:jc w:val="center"/>
              <w:rPr>
                <w:rFonts w:eastAsia="Times New Roman"/>
                <w:sz w:val="20"/>
                <w:szCs w:val="20"/>
              </w:rPr>
            </w:pPr>
          </w:p>
        </w:tc>
        <w:tc>
          <w:tcPr>
            <w:tcW w:w="3260" w:type="dxa"/>
            <w:tcBorders>
              <w:bottom w:val="single" w:sz="4" w:space="0" w:color="auto"/>
            </w:tcBorders>
          </w:tcPr>
          <w:p w14:paraId="32AA1D6C" w14:textId="77777777" w:rsidR="00AE148D" w:rsidRPr="000D1DCF" w:rsidRDefault="00AE148D" w:rsidP="004A1C60">
            <w:pPr>
              <w:pStyle w:val="BodyText"/>
              <w:spacing w:before="120" w:after="0"/>
              <w:rPr>
                <w:rFonts w:eastAsia="Times New Roman"/>
                <w:sz w:val="20"/>
                <w:szCs w:val="20"/>
              </w:rPr>
            </w:pPr>
          </w:p>
        </w:tc>
      </w:tr>
      <w:tr w:rsidR="00AE148D" w:rsidRPr="00286A2D" w14:paraId="5F7C92FA" w14:textId="77777777" w:rsidTr="004A1C60">
        <w:trPr>
          <w:trHeight w:val="2331"/>
        </w:trPr>
        <w:tc>
          <w:tcPr>
            <w:tcW w:w="993" w:type="dxa"/>
            <w:vMerge/>
            <w:tcBorders>
              <w:bottom w:val="single" w:sz="4" w:space="0" w:color="auto"/>
            </w:tcBorders>
          </w:tcPr>
          <w:p w14:paraId="4578B9BF" w14:textId="77777777" w:rsidR="00AE148D" w:rsidRPr="002D6CCE" w:rsidRDefault="00AE148D" w:rsidP="004A1C60">
            <w:pPr>
              <w:pStyle w:val="BodyText"/>
              <w:spacing w:before="120" w:after="0"/>
              <w:rPr>
                <w:rFonts w:eastAsia="Times New Roman"/>
                <w:sz w:val="20"/>
                <w:szCs w:val="20"/>
              </w:rPr>
            </w:pPr>
          </w:p>
        </w:tc>
        <w:tc>
          <w:tcPr>
            <w:tcW w:w="1701" w:type="dxa"/>
            <w:vMerge/>
            <w:tcBorders>
              <w:bottom w:val="single" w:sz="4" w:space="0" w:color="auto"/>
            </w:tcBorders>
          </w:tcPr>
          <w:p w14:paraId="437AB92A" w14:textId="77777777" w:rsidR="00AE148D" w:rsidRPr="00890F7E" w:rsidRDefault="00AE148D" w:rsidP="004A1C60">
            <w:pPr>
              <w:pStyle w:val="BodyText"/>
              <w:spacing w:before="120" w:after="0"/>
              <w:rPr>
                <w:rFonts w:eastAsia="Times New Roman"/>
                <w:b/>
                <w:sz w:val="20"/>
                <w:szCs w:val="20"/>
              </w:rPr>
            </w:pPr>
          </w:p>
        </w:tc>
        <w:tc>
          <w:tcPr>
            <w:tcW w:w="4253" w:type="dxa"/>
            <w:vMerge/>
          </w:tcPr>
          <w:p w14:paraId="561E65DC" w14:textId="77777777" w:rsidR="00AE148D" w:rsidRPr="00E0317D" w:rsidRDefault="00AE148D" w:rsidP="004A1C60">
            <w:pPr>
              <w:pStyle w:val="BodyText"/>
              <w:spacing w:before="120" w:after="0"/>
              <w:rPr>
                <w:rFonts w:eastAsia="Times New Roman"/>
                <w:color w:val="000000" w:themeColor="text1"/>
                <w:sz w:val="20"/>
                <w:szCs w:val="20"/>
              </w:rPr>
            </w:pPr>
          </w:p>
        </w:tc>
        <w:tc>
          <w:tcPr>
            <w:tcW w:w="3696" w:type="dxa"/>
            <w:vMerge/>
            <w:tcBorders>
              <w:bottom w:val="single" w:sz="4" w:space="0" w:color="auto"/>
            </w:tcBorders>
          </w:tcPr>
          <w:p w14:paraId="67368E73" w14:textId="77777777" w:rsidR="00AE148D" w:rsidRPr="008655D7" w:rsidRDefault="00AE148D" w:rsidP="004A1C60">
            <w:pPr>
              <w:pStyle w:val="BodyText"/>
              <w:spacing w:before="120" w:after="0"/>
              <w:jc w:val="center"/>
              <w:rPr>
                <w:szCs w:val="20"/>
              </w:rPr>
            </w:pPr>
          </w:p>
        </w:tc>
        <w:tc>
          <w:tcPr>
            <w:tcW w:w="397" w:type="dxa"/>
            <w:vMerge/>
            <w:tcBorders>
              <w:bottom w:val="single" w:sz="4" w:space="0" w:color="auto"/>
            </w:tcBorders>
            <w:textDirection w:val="btLr"/>
          </w:tcPr>
          <w:p w14:paraId="3303B057" w14:textId="77777777" w:rsidR="00AE148D" w:rsidRDefault="00AE148D" w:rsidP="004A1C60">
            <w:pPr>
              <w:pStyle w:val="Heading2"/>
              <w:spacing w:before="0" w:line="360" w:lineRule="auto"/>
              <w:ind w:right="113"/>
              <w:jc w:val="center"/>
              <w:outlineLvl w:val="1"/>
              <w:rPr>
                <w:b w:val="0"/>
                <w:color w:val="auto"/>
                <w:sz w:val="20"/>
              </w:rPr>
            </w:pPr>
          </w:p>
        </w:tc>
        <w:tc>
          <w:tcPr>
            <w:tcW w:w="397" w:type="dxa"/>
            <w:vMerge/>
            <w:tcBorders>
              <w:bottom w:val="single" w:sz="4" w:space="0" w:color="auto"/>
            </w:tcBorders>
            <w:textDirection w:val="btLr"/>
          </w:tcPr>
          <w:p w14:paraId="2F90B5ED" w14:textId="77777777" w:rsidR="00AE148D" w:rsidRDefault="00AE148D" w:rsidP="004A1C60">
            <w:pPr>
              <w:pStyle w:val="Heading2"/>
              <w:spacing w:before="0" w:line="360" w:lineRule="auto"/>
              <w:ind w:right="113"/>
              <w:jc w:val="center"/>
              <w:outlineLvl w:val="1"/>
              <w:rPr>
                <w:b w:val="0"/>
                <w:color w:val="auto"/>
                <w:sz w:val="20"/>
              </w:rPr>
            </w:pPr>
          </w:p>
        </w:tc>
        <w:tc>
          <w:tcPr>
            <w:tcW w:w="699" w:type="dxa"/>
            <w:tcBorders>
              <w:bottom w:val="single" w:sz="4" w:space="0" w:color="auto"/>
            </w:tcBorders>
            <w:shd w:val="clear" w:color="auto" w:fill="FFFF00"/>
            <w:textDirection w:val="btLr"/>
          </w:tcPr>
          <w:p w14:paraId="5DA0010A" w14:textId="70A1F824" w:rsidR="00AE148D" w:rsidRPr="00FD28C8" w:rsidRDefault="00AE148D" w:rsidP="004A1C60">
            <w:pPr>
              <w:pStyle w:val="BodyText"/>
              <w:spacing w:before="120" w:after="0"/>
              <w:ind w:left="113" w:right="113"/>
              <w:jc w:val="center"/>
              <w:rPr>
                <w:sz w:val="20"/>
              </w:rPr>
            </w:pPr>
            <w:r w:rsidRPr="00506656">
              <w:rPr>
                <w:sz w:val="20"/>
              </w:rPr>
              <w:t>(</w:t>
            </w:r>
            <w:r>
              <w:rPr>
                <w:sz w:val="20"/>
              </w:rPr>
              <w:t>Dec 20</w:t>
            </w:r>
            <w:r w:rsidRPr="00506656">
              <w:rPr>
                <w:sz w:val="20"/>
              </w:rPr>
              <w:t>)</w:t>
            </w:r>
          </w:p>
        </w:tc>
        <w:tc>
          <w:tcPr>
            <w:tcW w:w="5442" w:type="dxa"/>
            <w:tcBorders>
              <w:bottom w:val="single" w:sz="4" w:space="0" w:color="auto"/>
            </w:tcBorders>
          </w:tcPr>
          <w:p w14:paraId="5E54C275" w14:textId="7DB83E12" w:rsidR="00AE148D" w:rsidRPr="00DF6037" w:rsidRDefault="00AE148D" w:rsidP="004A1C60">
            <w:pPr>
              <w:pStyle w:val="BodyTextIndentBullet"/>
              <w:numPr>
                <w:ilvl w:val="0"/>
                <w:numId w:val="0"/>
              </w:numPr>
              <w:spacing w:before="120"/>
              <w:ind w:left="42"/>
              <w:rPr>
                <w:b/>
                <w:bCs/>
                <w:szCs w:val="20"/>
              </w:rPr>
            </w:pPr>
            <w:r w:rsidRPr="00DF6037">
              <w:rPr>
                <w:b/>
                <w:bCs/>
                <w:szCs w:val="20"/>
              </w:rPr>
              <w:t>Risk treatment 202</w:t>
            </w:r>
            <w:r w:rsidR="003C53F7">
              <w:rPr>
                <w:b/>
                <w:bCs/>
                <w:szCs w:val="20"/>
              </w:rPr>
              <w:t>1</w:t>
            </w:r>
            <w:r w:rsidRPr="00DF6037">
              <w:rPr>
                <w:b/>
                <w:bCs/>
                <w:szCs w:val="20"/>
              </w:rPr>
              <w:t xml:space="preserve">/11/D:  </w:t>
            </w:r>
            <w:r>
              <w:rPr>
                <w:b/>
                <w:bCs/>
                <w:szCs w:val="20"/>
              </w:rPr>
              <w:t>The Sector plans for recruitment and SAR training in an ongoing Covid-19 environment</w:t>
            </w:r>
            <w:r w:rsidRPr="00DF6037">
              <w:rPr>
                <w:b/>
                <w:bCs/>
                <w:szCs w:val="20"/>
              </w:rPr>
              <w:t>.</w:t>
            </w:r>
          </w:p>
          <w:p w14:paraId="69ECE1DE" w14:textId="07393DA7" w:rsidR="00AE148D" w:rsidRDefault="00AE148D" w:rsidP="00AE148D">
            <w:pPr>
              <w:pStyle w:val="BodyTextIndentBullet"/>
              <w:numPr>
                <w:ilvl w:val="0"/>
                <w:numId w:val="31"/>
              </w:numPr>
              <w:spacing w:before="120"/>
              <w:ind w:left="402"/>
              <w:rPr>
                <w:szCs w:val="20"/>
              </w:rPr>
            </w:pPr>
            <w:r>
              <w:rPr>
                <w:szCs w:val="20"/>
              </w:rPr>
              <w:t>SAR sector agencies develop plans to continue recruitment in an ongoing Covid-19 environment</w:t>
            </w:r>
          </w:p>
          <w:p w14:paraId="74B4FCEF" w14:textId="6495070B" w:rsidR="00AE148D" w:rsidRPr="00AE148D" w:rsidRDefault="00AE148D" w:rsidP="00AE148D">
            <w:pPr>
              <w:pStyle w:val="BodyTextIndentBullet"/>
              <w:numPr>
                <w:ilvl w:val="0"/>
                <w:numId w:val="31"/>
              </w:numPr>
              <w:spacing w:before="120"/>
              <w:ind w:left="402"/>
              <w:rPr>
                <w:szCs w:val="20"/>
              </w:rPr>
            </w:pPr>
            <w:r>
              <w:rPr>
                <w:szCs w:val="20"/>
              </w:rPr>
              <w:t xml:space="preserve"> SAR sector agencies develop systems and plans to continue skill acquisition training in an ongoing Covid-19 environment</w:t>
            </w:r>
          </w:p>
        </w:tc>
        <w:tc>
          <w:tcPr>
            <w:tcW w:w="709" w:type="dxa"/>
            <w:tcBorders>
              <w:bottom w:val="single" w:sz="4" w:space="0" w:color="auto"/>
            </w:tcBorders>
            <w:shd w:val="clear" w:color="auto" w:fill="FFFF00"/>
            <w:textDirection w:val="btLr"/>
          </w:tcPr>
          <w:p w14:paraId="5E585562" w14:textId="77777777" w:rsidR="00AE148D" w:rsidRDefault="00AE148D" w:rsidP="004A1C60">
            <w:pPr>
              <w:pStyle w:val="BodyText"/>
              <w:spacing w:before="120" w:after="0"/>
              <w:ind w:left="113" w:right="113"/>
              <w:jc w:val="center"/>
              <w:rPr>
                <w:rFonts w:eastAsia="Times New Roman"/>
                <w:sz w:val="20"/>
                <w:szCs w:val="20"/>
              </w:rPr>
            </w:pPr>
          </w:p>
          <w:p w14:paraId="7DD0747A" w14:textId="77777777" w:rsidR="00AE148D" w:rsidRDefault="00AE148D" w:rsidP="004A1C60">
            <w:pPr>
              <w:pStyle w:val="BodyText"/>
              <w:spacing w:before="120" w:after="0"/>
              <w:ind w:left="113" w:right="113"/>
              <w:jc w:val="center"/>
              <w:rPr>
                <w:rFonts w:eastAsia="Times New Roman"/>
                <w:sz w:val="20"/>
                <w:szCs w:val="20"/>
              </w:rPr>
            </w:pPr>
          </w:p>
        </w:tc>
        <w:tc>
          <w:tcPr>
            <w:tcW w:w="794" w:type="dxa"/>
            <w:tcBorders>
              <w:bottom w:val="single" w:sz="4" w:space="0" w:color="auto"/>
            </w:tcBorders>
            <w:shd w:val="clear" w:color="auto" w:fill="00B050"/>
            <w:textDirection w:val="btLr"/>
          </w:tcPr>
          <w:p w14:paraId="41117165" w14:textId="77777777" w:rsidR="00AE148D" w:rsidRDefault="00AE148D" w:rsidP="004A1C60">
            <w:pPr>
              <w:pStyle w:val="BodyText"/>
              <w:spacing w:after="0"/>
              <w:jc w:val="center"/>
              <w:rPr>
                <w:rFonts w:eastAsia="Times New Roman"/>
                <w:sz w:val="20"/>
                <w:szCs w:val="20"/>
              </w:rPr>
            </w:pPr>
          </w:p>
        </w:tc>
        <w:tc>
          <w:tcPr>
            <w:tcW w:w="3260" w:type="dxa"/>
            <w:tcBorders>
              <w:bottom w:val="single" w:sz="2" w:space="0" w:color="auto"/>
            </w:tcBorders>
          </w:tcPr>
          <w:p w14:paraId="5537F9F2" w14:textId="6C0F603F" w:rsidR="00AE148D" w:rsidRPr="0022726C" w:rsidRDefault="00AE148D" w:rsidP="004A1C60">
            <w:pPr>
              <w:pStyle w:val="BodyText"/>
              <w:spacing w:after="0"/>
              <w:rPr>
                <w:rFonts w:eastAsia="Times New Roman"/>
                <w:sz w:val="18"/>
                <w:szCs w:val="18"/>
              </w:rPr>
            </w:pPr>
          </w:p>
        </w:tc>
      </w:tr>
      <w:tr w:rsidR="00AE148D" w:rsidRPr="00286A2D" w14:paraId="0C38F333" w14:textId="77777777" w:rsidTr="004A1C60">
        <w:trPr>
          <w:trHeight w:val="1471"/>
        </w:trPr>
        <w:tc>
          <w:tcPr>
            <w:tcW w:w="993" w:type="dxa"/>
            <w:vMerge/>
          </w:tcPr>
          <w:p w14:paraId="491F6766" w14:textId="77777777" w:rsidR="00AE148D" w:rsidRPr="002D6CCE" w:rsidRDefault="00AE148D" w:rsidP="004A1C60">
            <w:pPr>
              <w:pStyle w:val="BodyText"/>
              <w:spacing w:before="120" w:after="0"/>
              <w:rPr>
                <w:rFonts w:eastAsia="Times New Roman"/>
                <w:sz w:val="20"/>
                <w:szCs w:val="20"/>
              </w:rPr>
            </w:pPr>
          </w:p>
        </w:tc>
        <w:tc>
          <w:tcPr>
            <w:tcW w:w="1701" w:type="dxa"/>
            <w:vMerge/>
          </w:tcPr>
          <w:p w14:paraId="54CE8114" w14:textId="77777777" w:rsidR="00AE148D" w:rsidRPr="00890F7E" w:rsidRDefault="00AE148D" w:rsidP="004A1C60">
            <w:pPr>
              <w:pStyle w:val="BodyText"/>
              <w:spacing w:before="120" w:after="0"/>
              <w:rPr>
                <w:rFonts w:eastAsia="Times New Roman"/>
                <w:b/>
                <w:sz w:val="20"/>
                <w:szCs w:val="20"/>
              </w:rPr>
            </w:pPr>
          </w:p>
        </w:tc>
        <w:tc>
          <w:tcPr>
            <w:tcW w:w="4253" w:type="dxa"/>
            <w:vMerge/>
          </w:tcPr>
          <w:p w14:paraId="113AD1FB" w14:textId="77777777" w:rsidR="00AE148D" w:rsidRPr="00E0317D" w:rsidRDefault="00AE148D" w:rsidP="004A1C60">
            <w:pPr>
              <w:pStyle w:val="BodyText"/>
              <w:spacing w:before="120" w:after="0"/>
              <w:rPr>
                <w:rFonts w:eastAsia="Times New Roman"/>
                <w:color w:val="000000" w:themeColor="text1"/>
                <w:sz w:val="20"/>
                <w:szCs w:val="20"/>
              </w:rPr>
            </w:pPr>
          </w:p>
        </w:tc>
        <w:tc>
          <w:tcPr>
            <w:tcW w:w="3696" w:type="dxa"/>
            <w:vMerge/>
          </w:tcPr>
          <w:p w14:paraId="18964B60" w14:textId="77777777" w:rsidR="00AE148D" w:rsidRPr="008655D7" w:rsidRDefault="00AE148D" w:rsidP="004A1C60">
            <w:pPr>
              <w:pStyle w:val="BodyText"/>
              <w:spacing w:before="120" w:after="0"/>
              <w:jc w:val="center"/>
              <w:rPr>
                <w:szCs w:val="20"/>
              </w:rPr>
            </w:pPr>
          </w:p>
        </w:tc>
        <w:tc>
          <w:tcPr>
            <w:tcW w:w="397" w:type="dxa"/>
            <w:vMerge/>
            <w:textDirection w:val="btLr"/>
          </w:tcPr>
          <w:p w14:paraId="58D65666" w14:textId="77777777" w:rsidR="00AE148D" w:rsidRDefault="00AE148D" w:rsidP="004A1C60">
            <w:pPr>
              <w:pStyle w:val="Heading2"/>
              <w:spacing w:before="0" w:line="360" w:lineRule="auto"/>
              <w:ind w:right="113"/>
              <w:jc w:val="center"/>
              <w:outlineLvl w:val="1"/>
              <w:rPr>
                <w:b w:val="0"/>
                <w:color w:val="auto"/>
                <w:sz w:val="20"/>
              </w:rPr>
            </w:pPr>
          </w:p>
        </w:tc>
        <w:tc>
          <w:tcPr>
            <w:tcW w:w="397" w:type="dxa"/>
            <w:vMerge/>
            <w:textDirection w:val="btLr"/>
          </w:tcPr>
          <w:p w14:paraId="31BD6D8F" w14:textId="77777777" w:rsidR="00AE148D" w:rsidRDefault="00AE148D" w:rsidP="004A1C60">
            <w:pPr>
              <w:pStyle w:val="Heading2"/>
              <w:spacing w:before="0" w:line="360" w:lineRule="auto"/>
              <w:ind w:right="113"/>
              <w:jc w:val="center"/>
              <w:outlineLvl w:val="1"/>
              <w:rPr>
                <w:b w:val="0"/>
                <w:color w:val="auto"/>
                <w:sz w:val="20"/>
              </w:rPr>
            </w:pPr>
          </w:p>
        </w:tc>
        <w:tc>
          <w:tcPr>
            <w:tcW w:w="699" w:type="dxa"/>
            <w:shd w:val="clear" w:color="auto" w:fill="FFFF00"/>
            <w:textDirection w:val="btLr"/>
          </w:tcPr>
          <w:p w14:paraId="4B20CD02" w14:textId="3A3BE070" w:rsidR="00AE148D" w:rsidRPr="00FD28C8" w:rsidRDefault="00AE148D" w:rsidP="004A1C60">
            <w:pPr>
              <w:pStyle w:val="BodyText"/>
              <w:spacing w:before="120" w:after="0"/>
              <w:ind w:left="113" w:right="113"/>
              <w:jc w:val="center"/>
              <w:rPr>
                <w:sz w:val="20"/>
              </w:rPr>
            </w:pPr>
            <w:r w:rsidRPr="00506656">
              <w:rPr>
                <w:sz w:val="20"/>
              </w:rPr>
              <w:t>(</w:t>
            </w:r>
            <w:r>
              <w:rPr>
                <w:sz w:val="20"/>
              </w:rPr>
              <w:t>Dec 20</w:t>
            </w:r>
            <w:r w:rsidRPr="00506656">
              <w:rPr>
                <w:sz w:val="20"/>
              </w:rPr>
              <w:t>)</w:t>
            </w:r>
          </w:p>
        </w:tc>
        <w:tc>
          <w:tcPr>
            <w:tcW w:w="5442" w:type="dxa"/>
          </w:tcPr>
          <w:p w14:paraId="44659932" w14:textId="433311B3" w:rsidR="00AE148D" w:rsidRDefault="00AE148D" w:rsidP="004A1C60">
            <w:pPr>
              <w:pStyle w:val="BodyTextIndentBullet"/>
              <w:numPr>
                <w:ilvl w:val="0"/>
                <w:numId w:val="0"/>
              </w:numPr>
              <w:spacing w:before="120"/>
              <w:ind w:left="42"/>
              <w:rPr>
                <w:b/>
                <w:bCs/>
                <w:szCs w:val="20"/>
              </w:rPr>
            </w:pPr>
            <w:r w:rsidRPr="00DF6037">
              <w:rPr>
                <w:b/>
                <w:bCs/>
                <w:szCs w:val="20"/>
              </w:rPr>
              <w:t>Risk treatment 202</w:t>
            </w:r>
            <w:r w:rsidR="003C53F7">
              <w:rPr>
                <w:b/>
                <w:bCs/>
                <w:szCs w:val="20"/>
              </w:rPr>
              <w:t>1</w:t>
            </w:r>
            <w:r w:rsidRPr="00DF6037">
              <w:rPr>
                <w:b/>
                <w:bCs/>
                <w:szCs w:val="20"/>
              </w:rPr>
              <w:t>/11/</w:t>
            </w:r>
            <w:r>
              <w:rPr>
                <w:b/>
                <w:bCs/>
                <w:szCs w:val="20"/>
              </w:rPr>
              <w:t>E</w:t>
            </w:r>
            <w:r w:rsidRPr="00DF6037">
              <w:rPr>
                <w:b/>
                <w:bCs/>
                <w:szCs w:val="20"/>
              </w:rPr>
              <w:t xml:space="preserve">:  </w:t>
            </w:r>
            <w:r>
              <w:rPr>
                <w:b/>
                <w:bCs/>
                <w:szCs w:val="20"/>
              </w:rPr>
              <w:t>Monitor economic, people and operational impacts of Covid-19 on SAR Sector.</w:t>
            </w:r>
          </w:p>
          <w:p w14:paraId="08B2FA58" w14:textId="77777777" w:rsidR="00AE148D" w:rsidRPr="0022726C" w:rsidRDefault="00AE148D" w:rsidP="00AE148D">
            <w:pPr>
              <w:pStyle w:val="BodyTextIndentBullet"/>
              <w:numPr>
                <w:ilvl w:val="0"/>
                <w:numId w:val="31"/>
              </w:numPr>
              <w:spacing w:before="120"/>
              <w:ind w:left="402"/>
              <w:rPr>
                <w:szCs w:val="20"/>
              </w:rPr>
            </w:pPr>
            <w:r w:rsidRPr="00EB6017">
              <w:rPr>
                <w:szCs w:val="20"/>
              </w:rPr>
              <w:t>NZSAR Secretariat monitor and report on the economic, people and operational impacts of Covid-19 on SAR Sector</w:t>
            </w:r>
          </w:p>
        </w:tc>
        <w:tc>
          <w:tcPr>
            <w:tcW w:w="709" w:type="dxa"/>
            <w:shd w:val="clear" w:color="auto" w:fill="FFFF00"/>
            <w:textDirection w:val="btLr"/>
          </w:tcPr>
          <w:p w14:paraId="553ABA04" w14:textId="77777777" w:rsidR="00AE148D" w:rsidRDefault="00AE148D" w:rsidP="004A1C60">
            <w:pPr>
              <w:pStyle w:val="BodyText"/>
              <w:spacing w:before="120" w:after="0"/>
              <w:ind w:left="113" w:right="113"/>
              <w:jc w:val="center"/>
              <w:rPr>
                <w:rFonts w:eastAsia="Times New Roman"/>
                <w:sz w:val="20"/>
                <w:szCs w:val="20"/>
              </w:rPr>
            </w:pPr>
          </w:p>
        </w:tc>
        <w:tc>
          <w:tcPr>
            <w:tcW w:w="794" w:type="dxa"/>
            <w:shd w:val="clear" w:color="auto" w:fill="FFFF00"/>
            <w:textDirection w:val="btLr"/>
          </w:tcPr>
          <w:p w14:paraId="48FF0032" w14:textId="77777777" w:rsidR="00AE148D" w:rsidRDefault="00AE148D" w:rsidP="004A1C60">
            <w:pPr>
              <w:pStyle w:val="BodyText"/>
              <w:spacing w:after="0"/>
              <w:jc w:val="center"/>
              <w:rPr>
                <w:rFonts w:eastAsia="Times New Roman"/>
                <w:sz w:val="20"/>
                <w:szCs w:val="20"/>
              </w:rPr>
            </w:pPr>
          </w:p>
        </w:tc>
        <w:tc>
          <w:tcPr>
            <w:tcW w:w="3260" w:type="dxa"/>
            <w:tcBorders>
              <w:top w:val="single" w:sz="2" w:space="0" w:color="auto"/>
            </w:tcBorders>
          </w:tcPr>
          <w:p w14:paraId="79B768B5" w14:textId="77777777" w:rsidR="00AE148D" w:rsidRPr="000D1DCF" w:rsidRDefault="00AE148D" w:rsidP="004A1C60">
            <w:pPr>
              <w:pStyle w:val="BodyText"/>
              <w:spacing w:before="120" w:after="0"/>
              <w:rPr>
                <w:rFonts w:eastAsia="Times New Roman"/>
                <w:sz w:val="20"/>
                <w:szCs w:val="20"/>
              </w:rPr>
            </w:pPr>
          </w:p>
        </w:tc>
      </w:tr>
    </w:tbl>
    <w:p w14:paraId="3DC12E35" w14:textId="77777777" w:rsidR="00AE148D" w:rsidRPr="006B1273" w:rsidRDefault="00AE148D" w:rsidP="003C53F7"/>
    <w:sectPr w:rsidR="00AE148D" w:rsidRPr="006B1273" w:rsidSect="0093342E">
      <w:headerReference w:type="default" r:id="rId17"/>
      <w:type w:val="continuous"/>
      <w:pgSz w:w="23814" w:h="16839" w:orient="landscape" w:code="8"/>
      <w:pgMar w:top="1134" w:right="1440" w:bottom="1135" w:left="1134" w:header="709" w:footer="2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42139" w14:textId="77777777" w:rsidR="00A17D52" w:rsidRPr="00EB29AA" w:rsidRDefault="00A17D52" w:rsidP="00EB29AA">
      <w:pPr>
        <w:spacing w:after="0" w:line="240" w:lineRule="auto"/>
      </w:pPr>
      <w:r>
        <w:separator/>
      </w:r>
    </w:p>
  </w:endnote>
  <w:endnote w:type="continuationSeparator" w:id="0">
    <w:p w14:paraId="4A2F46BE" w14:textId="77777777" w:rsidR="00A17D52" w:rsidRPr="00EB29AA" w:rsidRDefault="00A17D52" w:rsidP="00EB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4610" w14:textId="77777777" w:rsidR="00793463" w:rsidRDefault="00793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8613" w14:textId="435776FA" w:rsidR="00793463" w:rsidRDefault="00793463" w:rsidP="0093342E">
    <w:pPr>
      <w:pStyle w:val="Header"/>
      <w:jc w:val="center"/>
    </w:pPr>
    <w:r>
      <w:t>16 September 2021</w:t>
    </w:r>
  </w:p>
  <w:p w14:paraId="181F4372" w14:textId="77777777" w:rsidR="00793463" w:rsidRPr="0074430E" w:rsidRDefault="00793463" w:rsidP="005A3788">
    <w:pPr>
      <w:pStyle w:val="Header"/>
      <w:tabs>
        <w:tab w:val="left" w:pos="9648"/>
      </w:tabs>
      <w:rPr>
        <w:sz w:val="2"/>
        <w:szCs w:val="2"/>
      </w:rPr>
    </w:pPr>
    <w:r>
      <w:tab/>
    </w:r>
    <w:r>
      <w:tab/>
    </w:r>
    <w:r>
      <w:tab/>
    </w:r>
  </w:p>
  <w:p w14:paraId="026B3D44" w14:textId="77777777" w:rsidR="00793463" w:rsidRDefault="00793463" w:rsidP="00EB29AA">
    <w:pPr>
      <w:pStyle w:val="Header"/>
      <w:jc w:val="center"/>
      <w:rPr>
        <w:noProof/>
      </w:rPr>
    </w:pPr>
    <w:r>
      <w:fldChar w:fldCharType="begin"/>
    </w:r>
    <w:r>
      <w:instrText xml:space="preserve"> PAGE   \* MERGEFORMAT </w:instrText>
    </w:r>
    <w:r>
      <w:fldChar w:fldCharType="separate"/>
    </w:r>
    <w:r>
      <w:rPr>
        <w:noProof/>
      </w:rPr>
      <w:t>6</w:t>
    </w:r>
    <w:r>
      <w:rPr>
        <w:noProof/>
      </w:rPr>
      <w:fldChar w:fldCharType="end"/>
    </w:r>
  </w:p>
  <w:p w14:paraId="6D6A1008" w14:textId="47B4F0C5" w:rsidR="00793463" w:rsidRPr="0074430E" w:rsidRDefault="00793463" w:rsidP="0074430E">
    <w:pPr>
      <w:pStyle w:val="Header"/>
      <w:jc w:val="right"/>
      <w:rPr>
        <w:iCs/>
        <w:sz w:val="16"/>
      </w:rPr>
    </w:pPr>
    <w:r w:rsidRPr="00700298">
      <w:rPr>
        <w:iCs/>
        <w:noProof/>
        <w:sz w:val="16"/>
      </w:rPr>
      <w:fldChar w:fldCharType="begin"/>
    </w:r>
    <w:r w:rsidRPr="00700298">
      <w:rPr>
        <w:iCs/>
        <w:noProof/>
        <w:sz w:val="16"/>
      </w:rPr>
      <w:instrText xml:space="preserve"> FILENAME \* MERGEFORMAT </w:instrText>
    </w:r>
    <w:r w:rsidRPr="00700298">
      <w:rPr>
        <w:iCs/>
        <w:noProof/>
        <w:sz w:val="16"/>
      </w:rPr>
      <w:fldChar w:fldCharType="separate"/>
    </w:r>
    <w:r>
      <w:rPr>
        <w:iCs/>
        <w:noProof/>
        <w:sz w:val="16"/>
      </w:rPr>
      <w:t>2021 09 16 CO08 NZSAR Risk Matrix</w:t>
    </w:r>
    <w:r w:rsidRPr="00700298">
      <w:rPr>
        <w:iCs/>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B518" w14:textId="77777777" w:rsidR="00793463" w:rsidRDefault="0079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1B1B4" w14:textId="77777777" w:rsidR="00A17D52" w:rsidRPr="00EB29AA" w:rsidRDefault="00A17D52" w:rsidP="00EB29AA">
      <w:pPr>
        <w:spacing w:after="0" w:line="240" w:lineRule="auto"/>
      </w:pPr>
      <w:r>
        <w:separator/>
      </w:r>
    </w:p>
  </w:footnote>
  <w:footnote w:type="continuationSeparator" w:id="0">
    <w:p w14:paraId="12FB75E6" w14:textId="77777777" w:rsidR="00A17D52" w:rsidRPr="00EB29AA" w:rsidRDefault="00A17D52" w:rsidP="00EB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C24B" w14:textId="77777777" w:rsidR="00793463" w:rsidRDefault="00793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641B" w14:textId="20A36AE5" w:rsidR="00793463" w:rsidRDefault="00793463" w:rsidP="00CD61F3">
    <w:pPr>
      <w:pStyle w:val="Header"/>
      <w:jc w:val="center"/>
    </w:pPr>
    <w:r w:rsidRPr="00746410">
      <w:rPr>
        <w:noProof/>
      </w:rPr>
      <w:drawing>
        <wp:inline distT="0" distB="0" distL="0" distR="0" wp14:anchorId="384893DB" wp14:editId="535D0908">
          <wp:extent cx="5731510" cy="11010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101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CA49" w14:textId="77777777" w:rsidR="00793463" w:rsidRDefault="007934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54DC" w14:textId="77777777" w:rsidR="00793463" w:rsidRDefault="00793463">
    <w:pPr>
      <w:pStyle w:val="Header"/>
    </w:pPr>
  </w:p>
  <w:p w14:paraId="0E373A34" w14:textId="77777777" w:rsidR="00793463" w:rsidRDefault="00793463" w:rsidP="002708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21F"/>
    <w:multiLevelType w:val="multilevel"/>
    <w:tmpl w:val="CD1EA7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71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FF11CC"/>
    <w:multiLevelType w:val="hybridMultilevel"/>
    <w:tmpl w:val="FE0CA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4150E5"/>
    <w:multiLevelType w:val="hybridMultilevel"/>
    <w:tmpl w:val="73529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0803C2"/>
    <w:multiLevelType w:val="hybridMultilevel"/>
    <w:tmpl w:val="B0F8B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070C54"/>
    <w:multiLevelType w:val="hybridMultilevel"/>
    <w:tmpl w:val="4E78A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EF03CE"/>
    <w:multiLevelType w:val="multilevel"/>
    <w:tmpl w:val="CD1EA7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71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C02D8C"/>
    <w:multiLevelType w:val="hybridMultilevel"/>
    <w:tmpl w:val="0C6628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2B6E61"/>
    <w:multiLevelType w:val="hybridMultilevel"/>
    <w:tmpl w:val="C2EC90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74317BA"/>
    <w:multiLevelType w:val="hybridMultilevel"/>
    <w:tmpl w:val="EBEED026"/>
    <w:lvl w:ilvl="0" w:tplc="5CBCF19C">
      <w:start w:val="1"/>
      <w:numFmt w:val="bullet"/>
      <w:pStyle w:val="BodyTextIndentBullet"/>
      <w:lvlText w:val=""/>
      <w:lvlJc w:val="left"/>
      <w:pPr>
        <w:ind w:left="1440" w:hanging="360"/>
      </w:pPr>
      <w:rPr>
        <w:rFonts w:ascii="Symbol" w:hAnsi="Symbol" w:hint="default"/>
        <w:color w:val="1F497D" w:themeColor="text2"/>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6D541038"/>
    <w:multiLevelType w:val="hybridMultilevel"/>
    <w:tmpl w:val="DF461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13D7187"/>
    <w:multiLevelType w:val="hybridMultilevel"/>
    <w:tmpl w:val="1A9C4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2D4739A"/>
    <w:multiLevelType w:val="hybridMultilevel"/>
    <w:tmpl w:val="624A4C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9"/>
  </w:num>
  <w:num w:numId="15">
    <w:abstractNumId w:val="8"/>
  </w:num>
  <w:num w:numId="16">
    <w:abstractNumId w:val="8"/>
  </w:num>
  <w:num w:numId="17">
    <w:abstractNumId w:val="8"/>
  </w:num>
  <w:num w:numId="18">
    <w:abstractNumId w:val="8"/>
  </w:num>
  <w:num w:numId="19">
    <w:abstractNumId w:val="8"/>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2"/>
  </w:num>
  <w:num w:numId="25">
    <w:abstractNumId w:val="8"/>
  </w:num>
  <w:num w:numId="26">
    <w:abstractNumId w:val="8"/>
  </w:num>
  <w:num w:numId="27">
    <w:abstractNumId w:val="8"/>
  </w:num>
  <w:num w:numId="28">
    <w:abstractNumId w:val="8"/>
  </w:num>
  <w:num w:numId="29">
    <w:abstractNumId w:val="8"/>
  </w:num>
  <w:num w:numId="30">
    <w:abstractNumId w:val="4"/>
  </w:num>
  <w:num w:numId="31">
    <w:abstractNumId w:val="10"/>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CC3"/>
    <w:rsid w:val="00004195"/>
    <w:rsid w:val="00006E2F"/>
    <w:rsid w:val="0000746E"/>
    <w:rsid w:val="00015E6B"/>
    <w:rsid w:val="0002635F"/>
    <w:rsid w:val="000303E9"/>
    <w:rsid w:val="00036417"/>
    <w:rsid w:val="00055D12"/>
    <w:rsid w:val="0005715E"/>
    <w:rsid w:val="00057A7B"/>
    <w:rsid w:val="00063704"/>
    <w:rsid w:val="000729D1"/>
    <w:rsid w:val="0007515F"/>
    <w:rsid w:val="00077334"/>
    <w:rsid w:val="00090F40"/>
    <w:rsid w:val="00092F00"/>
    <w:rsid w:val="00094C34"/>
    <w:rsid w:val="000A0CD3"/>
    <w:rsid w:val="000A3B56"/>
    <w:rsid w:val="000A7946"/>
    <w:rsid w:val="000B091E"/>
    <w:rsid w:val="000B29D0"/>
    <w:rsid w:val="000C389F"/>
    <w:rsid w:val="000D0B38"/>
    <w:rsid w:val="000D1DCF"/>
    <w:rsid w:val="000D31BB"/>
    <w:rsid w:val="000D7A92"/>
    <w:rsid w:val="000E79E2"/>
    <w:rsid w:val="000F1E9D"/>
    <w:rsid w:val="00105C76"/>
    <w:rsid w:val="00106543"/>
    <w:rsid w:val="001071A9"/>
    <w:rsid w:val="001109B4"/>
    <w:rsid w:val="001112DE"/>
    <w:rsid w:val="0012060A"/>
    <w:rsid w:val="0012515E"/>
    <w:rsid w:val="00127842"/>
    <w:rsid w:val="00127F58"/>
    <w:rsid w:val="001362DD"/>
    <w:rsid w:val="00147EF7"/>
    <w:rsid w:val="001538D0"/>
    <w:rsid w:val="00154F4B"/>
    <w:rsid w:val="00156792"/>
    <w:rsid w:val="001632D7"/>
    <w:rsid w:val="00164E57"/>
    <w:rsid w:val="00166AFD"/>
    <w:rsid w:val="00173280"/>
    <w:rsid w:val="00191732"/>
    <w:rsid w:val="001944AD"/>
    <w:rsid w:val="0019480D"/>
    <w:rsid w:val="00194EFB"/>
    <w:rsid w:val="00195868"/>
    <w:rsid w:val="00197808"/>
    <w:rsid w:val="001A5971"/>
    <w:rsid w:val="001B428B"/>
    <w:rsid w:val="001B5689"/>
    <w:rsid w:val="001C6376"/>
    <w:rsid w:val="001D3081"/>
    <w:rsid w:val="0020234F"/>
    <w:rsid w:val="00212129"/>
    <w:rsid w:val="00213B1B"/>
    <w:rsid w:val="002152A9"/>
    <w:rsid w:val="002176BA"/>
    <w:rsid w:val="0022526E"/>
    <w:rsid w:val="00226563"/>
    <w:rsid w:val="00226B53"/>
    <w:rsid w:val="00260311"/>
    <w:rsid w:val="0026276D"/>
    <w:rsid w:val="00263756"/>
    <w:rsid w:val="00270830"/>
    <w:rsid w:val="00271C1B"/>
    <w:rsid w:val="00277421"/>
    <w:rsid w:val="00280BD1"/>
    <w:rsid w:val="00281C6C"/>
    <w:rsid w:val="002847C0"/>
    <w:rsid w:val="00286A2D"/>
    <w:rsid w:val="00292DD8"/>
    <w:rsid w:val="002A30A0"/>
    <w:rsid w:val="002A3BB2"/>
    <w:rsid w:val="002A5314"/>
    <w:rsid w:val="002C0725"/>
    <w:rsid w:val="002C2716"/>
    <w:rsid w:val="002C737D"/>
    <w:rsid w:val="002D6CCE"/>
    <w:rsid w:val="002F1CF0"/>
    <w:rsid w:val="002F7154"/>
    <w:rsid w:val="00304E2A"/>
    <w:rsid w:val="0030721F"/>
    <w:rsid w:val="00307A7F"/>
    <w:rsid w:val="00313438"/>
    <w:rsid w:val="00317B32"/>
    <w:rsid w:val="00324F84"/>
    <w:rsid w:val="0032516E"/>
    <w:rsid w:val="00331D89"/>
    <w:rsid w:val="00337399"/>
    <w:rsid w:val="003407EA"/>
    <w:rsid w:val="00343AA9"/>
    <w:rsid w:val="00353DB7"/>
    <w:rsid w:val="00362D61"/>
    <w:rsid w:val="003649BD"/>
    <w:rsid w:val="00366A5F"/>
    <w:rsid w:val="00372449"/>
    <w:rsid w:val="003730F4"/>
    <w:rsid w:val="00374AE1"/>
    <w:rsid w:val="00376981"/>
    <w:rsid w:val="00380CA3"/>
    <w:rsid w:val="003846FE"/>
    <w:rsid w:val="003868ED"/>
    <w:rsid w:val="003911FB"/>
    <w:rsid w:val="00396513"/>
    <w:rsid w:val="003A4A0B"/>
    <w:rsid w:val="003A6FD6"/>
    <w:rsid w:val="003B00B8"/>
    <w:rsid w:val="003B1CD7"/>
    <w:rsid w:val="003C17D1"/>
    <w:rsid w:val="003C2877"/>
    <w:rsid w:val="003C53E9"/>
    <w:rsid w:val="003C53F7"/>
    <w:rsid w:val="003C5564"/>
    <w:rsid w:val="003C6216"/>
    <w:rsid w:val="003D15BC"/>
    <w:rsid w:val="003D60EE"/>
    <w:rsid w:val="003E34AB"/>
    <w:rsid w:val="003F0C4C"/>
    <w:rsid w:val="003F3482"/>
    <w:rsid w:val="003F6BDF"/>
    <w:rsid w:val="003F7BFF"/>
    <w:rsid w:val="004036EB"/>
    <w:rsid w:val="00404344"/>
    <w:rsid w:val="00404C22"/>
    <w:rsid w:val="004102F6"/>
    <w:rsid w:val="00421862"/>
    <w:rsid w:val="00423508"/>
    <w:rsid w:val="00427871"/>
    <w:rsid w:val="00441AB1"/>
    <w:rsid w:val="00446F41"/>
    <w:rsid w:val="004656C9"/>
    <w:rsid w:val="00465FF9"/>
    <w:rsid w:val="00470EB0"/>
    <w:rsid w:val="00471374"/>
    <w:rsid w:val="00472128"/>
    <w:rsid w:val="00477E66"/>
    <w:rsid w:val="00485B57"/>
    <w:rsid w:val="004A1C60"/>
    <w:rsid w:val="004B64A5"/>
    <w:rsid w:val="004D2FAF"/>
    <w:rsid w:val="004D3742"/>
    <w:rsid w:val="004D4376"/>
    <w:rsid w:val="004F61BE"/>
    <w:rsid w:val="00502171"/>
    <w:rsid w:val="00503093"/>
    <w:rsid w:val="005051F0"/>
    <w:rsid w:val="00506656"/>
    <w:rsid w:val="0051099E"/>
    <w:rsid w:val="005132BD"/>
    <w:rsid w:val="00515022"/>
    <w:rsid w:val="0052081A"/>
    <w:rsid w:val="00523281"/>
    <w:rsid w:val="00524A50"/>
    <w:rsid w:val="00527737"/>
    <w:rsid w:val="00531568"/>
    <w:rsid w:val="005341CE"/>
    <w:rsid w:val="0053792B"/>
    <w:rsid w:val="005470BC"/>
    <w:rsid w:val="005517AB"/>
    <w:rsid w:val="005525C8"/>
    <w:rsid w:val="00555DD7"/>
    <w:rsid w:val="00563100"/>
    <w:rsid w:val="00565584"/>
    <w:rsid w:val="005811C0"/>
    <w:rsid w:val="0058155F"/>
    <w:rsid w:val="00583278"/>
    <w:rsid w:val="00584098"/>
    <w:rsid w:val="00584E08"/>
    <w:rsid w:val="005923CD"/>
    <w:rsid w:val="00596FAD"/>
    <w:rsid w:val="005A17CB"/>
    <w:rsid w:val="005A3788"/>
    <w:rsid w:val="005B612D"/>
    <w:rsid w:val="005C7D97"/>
    <w:rsid w:val="005D56D2"/>
    <w:rsid w:val="005E1789"/>
    <w:rsid w:val="005F6B2E"/>
    <w:rsid w:val="00603A13"/>
    <w:rsid w:val="00606652"/>
    <w:rsid w:val="006071C2"/>
    <w:rsid w:val="0062532E"/>
    <w:rsid w:val="00631CF9"/>
    <w:rsid w:val="00633849"/>
    <w:rsid w:val="006366CE"/>
    <w:rsid w:val="006504D5"/>
    <w:rsid w:val="006576C9"/>
    <w:rsid w:val="0066058D"/>
    <w:rsid w:val="006609BB"/>
    <w:rsid w:val="00665F6C"/>
    <w:rsid w:val="0067732C"/>
    <w:rsid w:val="00677B8E"/>
    <w:rsid w:val="00681EDA"/>
    <w:rsid w:val="00682939"/>
    <w:rsid w:val="00687FA5"/>
    <w:rsid w:val="006923E7"/>
    <w:rsid w:val="00692A2A"/>
    <w:rsid w:val="00695E77"/>
    <w:rsid w:val="006B0A63"/>
    <w:rsid w:val="006B1273"/>
    <w:rsid w:val="006B1BB4"/>
    <w:rsid w:val="006C60B2"/>
    <w:rsid w:val="006C6F10"/>
    <w:rsid w:val="006D2F2C"/>
    <w:rsid w:val="006D5B07"/>
    <w:rsid w:val="006D7F8F"/>
    <w:rsid w:val="006E3129"/>
    <w:rsid w:val="006E6B06"/>
    <w:rsid w:val="006F1E92"/>
    <w:rsid w:val="006F2712"/>
    <w:rsid w:val="00700298"/>
    <w:rsid w:val="0071215A"/>
    <w:rsid w:val="0071593D"/>
    <w:rsid w:val="0072763A"/>
    <w:rsid w:val="00730E00"/>
    <w:rsid w:val="00731FAA"/>
    <w:rsid w:val="007331DD"/>
    <w:rsid w:val="00740C9C"/>
    <w:rsid w:val="0074430E"/>
    <w:rsid w:val="007461B8"/>
    <w:rsid w:val="00765E53"/>
    <w:rsid w:val="00770A58"/>
    <w:rsid w:val="00771D98"/>
    <w:rsid w:val="00791008"/>
    <w:rsid w:val="00793463"/>
    <w:rsid w:val="0079525B"/>
    <w:rsid w:val="0079635C"/>
    <w:rsid w:val="007A4E5B"/>
    <w:rsid w:val="007C0674"/>
    <w:rsid w:val="007C400B"/>
    <w:rsid w:val="007C6B22"/>
    <w:rsid w:val="007C6CF1"/>
    <w:rsid w:val="007D119D"/>
    <w:rsid w:val="007F312C"/>
    <w:rsid w:val="007F3A14"/>
    <w:rsid w:val="00804FC0"/>
    <w:rsid w:val="00810B68"/>
    <w:rsid w:val="00812A12"/>
    <w:rsid w:val="00812B7B"/>
    <w:rsid w:val="00827592"/>
    <w:rsid w:val="00835279"/>
    <w:rsid w:val="00842994"/>
    <w:rsid w:val="008451D1"/>
    <w:rsid w:val="008655D7"/>
    <w:rsid w:val="00867196"/>
    <w:rsid w:val="00872B09"/>
    <w:rsid w:val="0087479B"/>
    <w:rsid w:val="00882C68"/>
    <w:rsid w:val="008839F1"/>
    <w:rsid w:val="00884C43"/>
    <w:rsid w:val="00890F7E"/>
    <w:rsid w:val="008A044D"/>
    <w:rsid w:val="008A2A89"/>
    <w:rsid w:val="008A5A2F"/>
    <w:rsid w:val="008A78C0"/>
    <w:rsid w:val="008B411D"/>
    <w:rsid w:val="008B5190"/>
    <w:rsid w:val="008C2AA6"/>
    <w:rsid w:val="008C4CB7"/>
    <w:rsid w:val="008D648C"/>
    <w:rsid w:val="008E4383"/>
    <w:rsid w:val="008E464A"/>
    <w:rsid w:val="00901C78"/>
    <w:rsid w:val="00904DB1"/>
    <w:rsid w:val="00910118"/>
    <w:rsid w:val="00914194"/>
    <w:rsid w:val="00915D75"/>
    <w:rsid w:val="00917E01"/>
    <w:rsid w:val="009264C8"/>
    <w:rsid w:val="00930C59"/>
    <w:rsid w:val="00932D65"/>
    <w:rsid w:val="0093342E"/>
    <w:rsid w:val="00935F98"/>
    <w:rsid w:val="009373C4"/>
    <w:rsid w:val="0094292D"/>
    <w:rsid w:val="00943807"/>
    <w:rsid w:val="0094380F"/>
    <w:rsid w:val="009441E2"/>
    <w:rsid w:val="00952682"/>
    <w:rsid w:val="00955915"/>
    <w:rsid w:val="00967EE1"/>
    <w:rsid w:val="009917A4"/>
    <w:rsid w:val="009974EF"/>
    <w:rsid w:val="009A38B8"/>
    <w:rsid w:val="009A5379"/>
    <w:rsid w:val="009B1CA7"/>
    <w:rsid w:val="009C43FC"/>
    <w:rsid w:val="009D3D92"/>
    <w:rsid w:val="009D7FEC"/>
    <w:rsid w:val="009E0273"/>
    <w:rsid w:val="009E5138"/>
    <w:rsid w:val="009F26CA"/>
    <w:rsid w:val="009F45E3"/>
    <w:rsid w:val="00A028C4"/>
    <w:rsid w:val="00A0510D"/>
    <w:rsid w:val="00A17D52"/>
    <w:rsid w:val="00A25A48"/>
    <w:rsid w:val="00A2732A"/>
    <w:rsid w:val="00A30E7C"/>
    <w:rsid w:val="00A42695"/>
    <w:rsid w:val="00A44A9D"/>
    <w:rsid w:val="00A520D5"/>
    <w:rsid w:val="00A603E0"/>
    <w:rsid w:val="00A62D8E"/>
    <w:rsid w:val="00A71DFA"/>
    <w:rsid w:val="00A73605"/>
    <w:rsid w:val="00A7377A"/>
    <w:rsid w:val="00A7588B"/>
    <w:rsid w:val="00A76155"/>
    <w:rsid w:val="00A84530"/>
    <w:rsid w:val="00A9038E"/>
    <w:rsid w:val="00A92280"/>
    <w:rsid w:val="00A95825"/>
    <w:rsid w:val="00AA61AB"/>
    <w:rsid w:val="00AA78E7"/>
    <w:rsid w:val="00AB2092"/>
    <w:rsid w:val="00AC2AE3"/>
    <w:rsid w:val="00AD1C5E"/>
    <w:rsid w:val="00AD6572"/>
    <w:rsid w:val="00AE148D"/>
    <w:rsid w:val="00AE77AE"/>
    <w:rsid w:val="00AF061D"/>
    <w:rsid w:val="00B11A3D"/>
    <w:rsid w:val="00B15240"/>
    <w:rsid w:val="00B2085C"/>
    <w:rsid w:val="00B251DC"/>
    <w:rsid w:val="00B4007D"/>
    <w:rsid w:val="00B42C3C"/>
    <w:rsid w:val="00B4401D"/>
    <w:rsid w:val="00B50ECF"/>
    <w:rsid w:val="00B56CF5"/>
    <w:rsid w:val="00B626D0"/>
    <w:rsid w:val="00B6593D"/>
    <w:rsid w:val="00B703A0"/>
    <w:rsid w:val="00B80263"/>
    <w:rsid w:val="00B83C2D"/>
    <w:rsid w:val="00B90C83"/>
    <w:rsid w:val="00B9758E"/>
    <w:rsid w:val="00BA06E8"/>
    <w:rsid w:val="00BA0E5C"/>
    <w:rsid w:val="00BB1DA2"/>
    <w:rsid w:val="00BB3FAA"/>
    <w:rsid w:val="00BB5DB0"/>
    <w:rsid w:val="00BC4A5B"/>
    <w:rsid w:val="00BD44C7"/>
    <w:rsid w:val="00BD7EC6"/>
    <w:rsid w:val="00BF21FA"/>
    <w:rsid w:val="00C0092E"/>
    <w:rsid w:val="00C05A65"/>
    <w:rsid w:val="00C06BDF"/>
    <w:rsid w:val="00C1550F"/>
    <w:rsid w:val="00C25B44"/>
    <w:rsid w:val="00C336C8"/>
    <w:rsid w:val="00C35632"/>
    <w:rsid w:val="00C3736F"/>
    <w:rsid w:val="00C4373D"/>
    <w:rsid w:val="00C47A34"/>
    <w:rsid w:val="00C51A66"/>
    <w:rsid w:val="00C70648"/>
    <w:rsid w:val="00C74810"/>
    <w:rsid w:val="00C84404"/>
    <w:rsid w:val="00C91CE5"/>
    <w:rsid w:val="00CA69B8"/>
    <w:rsid w:val="00CB4F16"/>
    <w:rsid w:val="00CC33B8"/>
    <w:rsid w:val="00CD61F3"/>
    <w:rsid w:val="00CE054B"/>
    <w:rsid w:val="00CF1B96"/>
    <w:rsid w:val="00CF349A"/>
    <w:rsid w:val="00CF4923"/>
    <w:rsid w:val="00CF792E"/>
    <w:rsid w:val="00D03A7A"/>
    <w:rsid w:val="00D15EED"/>
    <w:rsid w:val="00D2476A"/>
    <w:rsid w:val="00D27C1D"/>
    <w:rsid w:val="00D40463"/>
    <w:rsid w:val="00D4381A"/>
    <w:rsid w:val="00D45DE8"/>
    <w:rsid w:val="00D539A3"/>
    <w:rsid w:val="00D53C81"/>
    <w:rsid w:val="00D53CC3"/>
    <w:rsid w:val="00D56BC8"/>
    <w:rsid w:val="00D6047C"/>
    <w:rsid w:val="00D60822"/>
    <w:rsid w:val="00D65095"/>
    <w:rsid w:val="00D8217C"/>
    <w:rsid w:val="00D82DA5"/>
    <w:rsid w:val="00D846AC"/>
    <w:rsid w:val="00D84CAD"/>
    <w:rsid w:val="00D90D78"/>
    <w:rsid w:val="00D91C4D"/>
    <w:rsid w:val="00D95902"/>
    <w:rsid w:val="00DA2F7B"/>
    <w:rsid w:val="00DA39F6"/>
    <w:rsid w:val="00DA51F3"/>
    <w:rsid w:val="00DB648A"/>
    <w:rsid w:val="00DC6FAD"/>
    <w:rsid w:val="00DD00A3"/>
    <w:rsid w:val="00DD09A0"/>
    <w:rsid w:val="00DD319A"/>
    <w:rsid w:val="00DD3830"/>
    <w:rsid w:val="00DE34C9"/>
    <w:rsid w:val="00DE3AF7"/>
    <w:rsid w:val="00DE3F9F"/>
    <w:rsid w:val="00DE6622"/>
    <w:rsid w:val="00DE709B"/>
    <w:rsid w:val="00DF6E3B"/>
    <w:rsid w:val="00E0317D"/>
    <w:rsid w:val="00E0456A"/>
    <w:rsid w:val="00E0766E"/>
    <w:rsid w:val="00E216F2"/>
    <w:rsid w:val="00E2569A"/>
    <w:rsid w:val="00E51E11"/>
    <w:rsid w:val="00E53ECF"/>
    <w:rsid w:val="00E62F26"/>
    <w:rsid w:val="00E730FA"/>
    <w:rsid w:val="00E93B95"/>
    <w:rsid w:val="00E9649F"/>
    <w:rsid w:val="00EB027D"/>
    <w:rsid w:val="00EB29AA"/>
    <w:rsid w:val="00EB7111"/>
    <w:rsid w:val="00EB7B49"/>
    <w:rsid w:val="00EC7DD7"/>
    <w:rsid w:val="00ED2107"/>
    <w:rsid w:val="00EE19D9"/>
    <w:rsid w:val="00EE2DD6"/>
    <w:rsid w:val="00EE6A0A"/>
    <w:rsid w:val="00EF28E0"/>
    <w:rsid w:val="00F01CA6"/>
    <w:rsid w:val="00F13661"/>
    <w:rsid w:val="00F17C7C"/>
    <w:rsid w:val="00F218BF"/>
    <w:rsid w:val="00F2275D"/>
    <w:rsid w:val="00F27E5A"/>
    <w:rsid w:val="00F303BC"/>
    <w:rsid w:val="00F319B4"/>
    <w:rsid w:val="00F319E3"/>
    <w:rsid w:val="00F413B2"/>
    <w:rsid w:val="00F42412"/>
    <w:rsid w:val="00F450B4"/>
    <w:rsid w:val="00F52D48"/>
    <w:rsid w:val="00F545CB"/>
    <w:rsid w:val="00F558DB"/>
    <w:rsid w:val="00F61C8E"/>
    <w:rsid w:val="00F62BBC"/>
    <w:rsid w:val="00F70EC1"/>
    <w:rsid w:val="00F9220B"/>
    <w:rsid w:val="00FA3286"/>
    <w:rsid w:val="00FA37F4"/>
    <w:rsid w:val="00FA381E"/>
    <w:rsid w:val="00FB46E5"/>
    <w:rsid w:val="00FB78AA"/>
    <w:rsid w:val="00FC74C4"/>
    <w:rsid w:val="00FD28C8"/>
    <w:rsid w:val="00FE26F7"/>
    <w:rsid w:val="00FE41C1"/>
    <w:rsid w:val="00FF37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7CD25"/>
  <w15:docId w15:val="{ABB622B0-DE97-40A9-AC6D-6EE8F0FF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C8"/>
  </w:style>
  <w:style w:type="paragraph" w:styleId="Heading2">
    <w:name w:val="heading 2"/>
    <w:basedOn w:val="Normal"/>
    <w:next w:val="BodyText"/>
    <w:link w:val="Heading2Char"/>
    <w:qFormat/>
    <w:rsid w:val="00036417"/>
    <w:pPr>
      <w:keepNext/>
      <w:spacing w:before="240" w:after="0" w:line="240" w:lineRule="auto"/>
      <w:outlineLvl w:val="1"/>
    </w:pPr>
    <w:rPr>
      <w:rFonts w:eastAsia="Times New Roman"/>
      <w:b/>
      <w:color w:val="1F497D" w:themeColor="text2"/>
      <w:sz w:val="22"/>
      <w:szCs w:val="20"/>
    </w:rPr>
  </w:style>
  <w:style w:type="paragraph" w:styleId="Heading3">
    <w:name w:val="heading 3"/>
    <w:basedOn w:val="Normal"/>
    <w:next w:val="Normal"/>
    <w:link w:val="Heading3Char"/>
    <w:uiPriority w:val="9"/>
    <w:semiHidden/>
    <w:unhideWhenUsed/>
    <w:qFormat/>
    <w:rsid w:val="009441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6A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36417"/>
    <w:rPr>
      <w:rFonts w:eastAsia="Times New Roman"/>
      <w:b/>
      <w:color w:val="1F497D" w:themeColor="text2"/>
      <w:sz w:val="22"/>
      <w:szCs w:val="20"/>
    </w:rPr>
  </w:style>
  <w:style w:type="paragraph" w:styleId="BodyText">
    <w:name w:val="Body Text"/>
    <w:basedOn w:val="Normal"/>
    <w:link w:val="BodyTextChar"/>
    <w:uiPriority w:val="99"/>
    <w:unhideWhenUsed/>
    <w:rsid w:val="00036417"/>
    <w:pPr>
      <w:spacing w:after="120"/>
    </w:pPr>
  </w:style>
  <w:style w:type="character" w:customStyle="1" w:styleId="BodyTextChar">
    <w:name w:val="Body Text Char"/>
    <w:basedOn w:val="DefaultParagraphFont"/>
    <w:link w:val="BodyText"/>
    <w:uiPriority w:val="99"/>
    <w:rsid w:val="00036417"/>
  </w:style>
  <w:style w:type="character" w:customStyle="1" w:styleId="Heading4Char">
    <w:name w:val="Heading 4 Char"/>
    <w:basedOn w:val="DefaultParagraphFont"/>
    <w:link w:val="Heading4"/>
    <w:uiPriority w:val="9"/>
    <w:semiHidden/>
    <w:rsid w:val="00286A2D"/>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286A2D"/>
    <w:pPr>
      <w:spacing w:after="120"/>
      <w:ind w:left="283"/>
    </w:pPr>
  </w:style>
  <w:style w:type="character" w:customStyle="1" w:styleId="BodyTextIndentChar">
    <w:name w:val="Body Text Indent Char"/>
    <w:basedOn w:val="DefaultParagraphFont"/>
    <w:link w:val="BodyTextIndent"/>
    <w:uiPriority w:val="99"/>
    <w:semiHidden/>
    <w:rsid w:val="00286A2D"/>
  </w:style>
  <w:style w:type="paragraph" w:customStyle="1" w:styleId="BodyTextIndentBullet">
    <w:name w:val="Body Text Indent Bullet"/>
    <w:basedOn w:val="Normal"/>
    <w:link w:val="BodyTextIndentBulletChar"/>
    <w:rsid w:val="00DA51F3"/>
    <w:pPr>
      <w:keepLines/>
      <w:numPr>
        <w:numId w:val="2"/>
      </w:numPr>
      <w:spacing w:before="60" w:after="0" w:line="240" w:lineRule="auto"/>
    </w:pPr>
    <w:rPr>
      <w:rFonts w:eastAsia="Times New Roman"/>
      <w:sz w:val="20"/>
    </w:rPr>
  </w:style>
  <w:style w:type="character" w:customStyle="1" w:styleId="BodyTextIndentBulletChar">
    <w:name w:val="Body Text Indent Bullet Char"/>
    <w:basedOn w:val="DefaultParagraphFont"/>
    <w:link w:val="BodyTextIndentBullet"/>
    <w:rsid w:val="00DA51F3"/>
    <w:rPr>
      <w:rFonts w:eastAsia="Times New Roman"/>
      <w:sz w:val="20"/>
    </w:rPr>
  </w:style>
  <w:style w:type="character" w:styleId="Hyperlink">
    <w:name w:val="Hyperlink"/>
    <w:basedOn w:val="DefaultParagraphFont"/>
    <w:uiPriority w:val="99"/>
    <w:rsid w:val="000D1DCF"/>
    <w:rPr>
      <w:rFonts w:ascii="Arial" w:hAnsi="Arial"/>
      <w:dstrike w:val="0"/>
      <w:color w:val="0000FF"/>
      <w:sz w:val="20"/>
      <w:u w:val="single"/>
      <w:vertAlign w:val="baseline"/>
    </w:rPr>
  </w:style>
  <w:style w:type="character" w:customStyle="1" w:styleId="Heading3Char">
    <w:name w:val="Heading 3 Char"/>
    <w:basedOn w:val="DefaultParagraphFont"/>
    <w:link w:val="Heading3"/>
    <w:uiPriority w:val="9"/>
    <w:semiHidden/>
    <w:rsid w:val="009441E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441E2"/>
  </w:style>
  <w:style w:type="paragraph" w:styleId="Header">
    <w:name w:val="header"/>
    <w:basedOn w:val="Normal"/>
    <w:link w:val="HeaderChar"/>
    <w:unhideWhenUsed/>
    <w:rsid w:val="00EB29AA"/>
    <w:pPr>
      <w:tabs>
        <w:tab w:val="center" w:pos="4513"/>
        <w:tab w:val="right" w:pos="9026"/>
      </w:tabs>
      <w:spacing w:after="0" w:line="240" w:lineRule="auto"/>
    </w:pPr>
  </w:style>
  <w:style w:type="character" w:customStyle="1" w:styleId="HeaderChar">
    <w:name w:val="Header Char"/>
    <w:basedOn w:val="DefaultParagraphFont"/>
    <w:link w:val="Header"/>
    <w:rsid w:val="00EB29AA"/>
  </w:style>
  <w:style w:type="paragraph" w:styleId="Footer">
    <w:name w:val="footer"/>
    <w:basedOn w:val="Normal"/>
    <w:link w:val="FooterChar"/>
    <w:uiPriority w:val="99"/>
    <w:unhideWhenUsed/>
    <w:rsid w:val="00EB2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9AA"/>
  </w:style>
  <w:style w:type="paragraph" w:styleId="BalloonText">
    <w:name w:val="Balloon Text"/>
    <w:basedOn w:val="Normal"/>
    <w:link w:val="BalloonTextChar"/>
    <w:uiPriority w:val="99"/>
    <w:semiHidden/>
    <w:unhideWhenUsed/>
    <w:rsid w:val="00EB2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AA"/>
    <w:rPr>
      <w:rFonts w:ascii="Tahoma" w:hAnsi="Tahoma" w:cs="Tahoma"/>
      <w:sz w:val="16"/>
      <w:szCs w:val="16"/>
    </w:rPr>
  </w:style>
  <w:style w:type="paragraph" w:styleId="ListParagraph">
    <w:name w:val="List Paragraph"/>
    <w:basedOn w:val="Normal"/>
    <w:uiPriority w:val="34"/>
    <w:qFormat/>
    <w:rsid w:val="00A9038E"/>
    <w:pPr>
      <w:ind w:left="720"/>
      <w:contextualSpacing/>
    </w:pPr>
  </w:style>
  <w:style w:type="paragraph" w:customStyle="1" w:styleId="Default">
    <w:name w:val="Default"/>
    <w:rsid w:val="009D3D92"/>
    <w:pPr>
      <w:autoSpaceDE w:val="0"/>
      <w:autoSpaceDN w:val="0"/>
      <w:adjustRightInd w:val="0"/>
      <w:spacing w:after="0" w:line="240" w:lineRule="auto"/>
    </w:pPr>
    <w:rPr>
      <w:color w:val="000000"/>
      <w:szCs w:val="24"/>
    </w:rPr>
  </w:style>
  <w:style w:type="character" w:styleId="UnresolvedMention">
    <w:name w:val="Unresolved Mention"/>
    <w:basedOn w:val="DefaultParagraphFont"/>
    <w:uiPriority w:val="99"/>
    <w:semiHidden/>
    <w:unhideWhenUsed/>
    <w:rsid w:val="00770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3730">
      <w:bodyDiv w:val="1"/>
      <w:marLeft w:val="0"/>
      <w:marRight w:val="0"/>
      <w:marTop w:val="0"/>
      <w:marBottom w:val="0"/>
      <w:divBdr>
        <w:top w:val="none" w:sz="0" w:space="0" w:color="auto"/>
        <w:left w:val="none" w:sz="0" w:space="0" w:color="auto"/>
        <w:bottom w:val="none" w:sz="0" w:space="0" w:color="auto"/>
        <w:right w:val="none" w:sz="0" w:space="0" w:color="auto"/>
      </w:divBdr>
    </w:div>
    <w:div w:id="419758604">
      <w:bodyDiv w:val="1"/>
      <w:marLeft w:val="0"/>
      <w:marRight w:val="0"/>
      <w:marTop w:val="0"/>
      <w:marBottom w:val="0"/>
      <w:divBdr>
        <w:top w:val="none" w:sz="0" w:space="0" w:color="auto"/>
        <w:left w:val="none" w:sz="0" w:space="0" w:color="auto"/>
        <w:bottom w:val="none" w:sz="0" w:space="0" w:color="auto"/>
        <w:right w:val="none" w:sz="0" w:space="0" w:color="auto"/>
      </w:divBdr>
    </w:div>
    <w:div w:id="650523615">
      <w:bodyDiv w:val="1"/>
      <w:marLeft w:val="0"/>
      <w:marRight w:val="0"/>
      <w:marTop w:val="0"/>
      <w:marBottom w:val="0"/>
      <w:divBdr>
        <w:top w:val="none" w:sz="0" w:space="0" w:color="auto"/>
        <w:left w:val="none" w:sz="0" w:space="0" w:color="auto"/>
        <w:bottom w:val="none" w:sz="0" w:space="0" w:color="auto"/>
        <w:right w:val="none" w:sz="0" w:space="0" w:color="auto"/>
      </w:divBdr>
    </w:div>
    <w:div w:id="855079126">
      <w:bodyDiv w:val="1"/>
      <w:marLeft w:val="0"/>
      <w:marRight w:val="0"/>
      <w:marTop w:val="0"/>
      <w:marBottom w:val="0"/>
      <w:divBdr>
        <w:top w:val="none" w:sz="0" w:space="0" w:color="auto"/>
        <w:left w:val="none" w:sz="0" w:space="0" w:color="auto"/>
        <w:bottom w:val="none" w:sz="0" w:space="0" w:color="auto"/>
        <w:right w:val="none" w:sz="0" w:space="0" w:color="auto"/>
      </w:divBdr>
    </w:div>
    <w:div w:id="1141925132">
      <w:bodyDiv w:val="1"/>
      <w:marLeft w:val="0"/>
      <w:marRight w:val="0"/>
      <w:marTop w:val="0"/>
      <w:marBottom w:val="0"/>
      <w:divBdr>
        <w:top w:val="none" w:sz="0" w:space="0" w:color="auto"/>
        <w:left w:val="none" w:sz="0" w:space="0" w:color="auto"/>
        <w:bottom w:val="none" w:sz="0" w:space="0" w:color="auto"/>
        <w:right w:val="none" w:sz="0" w:space="0" w:color="auto"/>
      </w:divBdr>
    </w:div>
    <w:div w:id="1271087781">
      <w:bodyDiv w:val="1"/>
      <w:marLeft w:val="0"/>
      <w:marRight w:val="0"/>
      <w:marTop w:val="0"/>
      <w:marBottom w:val="0"/>
      <w:divBdr>
        <w:top w:val="none" w:sz="0" w:space="0" w:color="auto"/>
        <w:left w:val="none" w:sz="0" w:space="0" w:color="auto"/>
        <w:bottom w:val="none" w:sz="0" w:space="0" w:color="auto"/>
        <w:right w:val="none" w:sz="0" w:space="0" w:color="auto"/>
      </w:divBdr>
    </w:div>
    <w:div w:id="1454249216">
      <w:bodyDiv w:val="1"/>
      <w:marLeft w:val="0"/>
      <w:marRight w:val="0"/>
      <w:marTop w:val="0"/>
      <w:marBottom w:val="0"/>
      <w:divBdr>
        <w:top w:val="none" w:sz="0" w:space="0" w:color="auto"/>
        <w:left w:val="none" w:sz="0" w:space="0" w:color="auto"/>
        <w:bottom w:val="none" w:sz="0" w:space="0" w:color="auto"/>
        <w:right w:val="none" w:sz="0" w:space="0" w:color="auto"/>
      </w:divBdr>
    </w:div>
    <w:div w:id="1511602884">
      <w:bodyDiv w:val="1"/>
      <w:marLeft w:val="0"/>
      <w:marRight w:val="0"/>
      <w:marTop w:val="0"/>
      <w:marBottom w:val="0"/>
      <w:divBdr>
        <w:top w:val="none" w:sz="0" w:space="0" w:color="auto"/>
        <w:left w:val="none" w:sz="0" w:space="0" w:color="auto"/>
        <w:bottom w:val="none" w:sz="0" w:space="0" w:color="auto"/>
        <w:right w:val="none" w:sz="0" w:space="0" w:color="auto"/>
      </w:divBdr>
    </w:div>
    <w:div w:id="1547990298">
      <w:bodyDiv w:val="1"/>
      <w:marLeft w:val="0"/>
      <w:marRight w:val="0"/>
      <w:marTop w:val="0"/>
      <w:marBottom w:val="0"/>
      <w:divBdr>
        <w:top w:val="none" w:sz="0" w:space="0" w:color="auto"/>
        <w:left w:val="none" w:sz="0" w:space="0" w:color="auto"/>
        <w:bottom w:val="none" w:sz="0" w:space="0" w:color="auto"/>
        <w:right w:val="none" w:sz="0" w:space="0" w:color="auto"/>
      </w:divBdr>
    </w:div>
    <w:div w:id="1844969510">
      <w:bodyDiv w:val="1"/>
      <w:marLeft w:val="0"/>
      <w:marRight w:val="0"/>
      <w:marTop w:val="0"/>
      <w:marBottom w:val="0"/>
      <w:divBdr>
        <w:top w:val="none" w:sz="0" w:space="0" w:color="auto"/>
        <w:left w:val="none" w:sz="0" w:space="0" w:color="auto"/>
        <w:bottom w:val="none" w:sz="0" w:space="0" w:color="auto"/>
        <w:right w:val="none" w:sz="0" w:space="0" w:color="auto"/>
      </w:divBdr>
    </w:div>
    <w:div w:id="1898079249">
      <w:bodyDiv w:val="1"/>
      <w:marLeft w:val="0"/>
      <w:marRight w:val="0"/>
      <w:marTop w:val="0"/>
      <w:marBottom w:val="0"/>
      <w:divBdr>
        <w:top w:val="none" w:sz="0" w:space="0" w:color="auto"/>
        <w:left w:val="none" w:sz="0" w:space="0" w:color="auto"/>
        <w:bottom w:val="none" w:sz="0" w:space="0" w:color="auto"/>
        <w:right w:val="none" w:sz="0" w:space="0" w:color="auto"/>
      </w:divBdr>
    </w:div>
    <w:div w:id="21439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040EDC7F509E4280E699E25CF2683F" ma:contentTypeVersion="0" ma:contentTypeDescription="Create a new document." ma:contentTypeScope="" ma:versionID="a94a78f2af9021caf839a97714714e67">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43AC8-E485-4297-8D18-E1490935BE1E}">
  <ds:schemaRefs>
    <ds:schemaRef ds:uri="http://schemas.openxmlformats.org/officeDocument/2006/bibliography"/>
  </ds:schemaRefs>
</ds:datastoreItem>
</file>

<file path=customXml/itemProps2.xml><?xml version="1.0" encoding="utf-8"?>
<ds:datastoreItem xmlns:ds="http://schemas.openxmlformats.org/officeDocument/2006/customXml" ds:itemID="{69F00507-53AA-4154-8A7F-2A16ED47C666}">
  <ds:schemaRefs>
    <ds:schemaRef ds:uri="http://schemas.microsoft.com/sharepoint/v3/contenttype/forms"/>
  </ds:schemaRefs>
</ds:datastoreItem>
</file>

<file path=customXml/itemProps3.xml><?xml version="1.0" encoding="utf-8"?>
<ds:datastoreItem xmlns:ds="http://schemas.openxmlformats.org/officeDocument/2006/customXml" ds:itemID="{BE984780-6087-4E32-94C3-DCADD8D03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B00FEE-6B64-483B-A450-E179AF298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5301</Words>
  <Characters>30220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Transport</dc:creator>
  <cp:keywords>83539911</cp:keywords>
  <cp:lastModifiedBy>Duncan Ferner</cp:lastModifiedBy>
  <cp:revision>2</cp:revision>
  <cp:lastPrinted>2021-08-11T02:47:00Z</cp:lastPrinted>
  <dcterms:created xsi:type="dcterms:W3CDTF">2021-09-17T01:55:00Z</dcterms:created>
  <dcterms:modified xsi:type="dcterms:W3CDTF">2021-09-17T01:55:00Z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0x010100B1040EDC7F509E4280E699E25CF2683F</vt:lpwstr>
  </property>
</Properties>
</file>